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77B1E" w14:textId="712E89FD" w:rsidR="00036A3D" w:rsidRPr="00E56F63" w:rsidRDefault="00036A3D" w:rsidP="00732D26">
      <w:pPr>
        <w:jc w:val="center"/>
        <w:rPr>
          <w:rFonts w:ascii="Arial" w:hAnsi="Arial" w:cs="Arial"/>
          <w:b/>
          <w:sz w:val="32"/>
        </w:rPr>
      </w:pPr>
      <w:r w:rsidRPr="00E56F63">
        <w:rPr>
          <w:rFonts w:ascii="Arial" w:hAnsi="Arial" w:cs="Arial"/>
          <w:b/>
          <w:sz w:val="32"/>
        </w:rPr>
        <w:t>Budget Overview</w:t>
      </w:r>
    </w:p>
    <w:p w14:paraId="42A538CA" w14:textId="5EEFD88D" w:rsidR="00EE297F" w:rsidRPr="00E56F63" w:rsidRDefault="00EE297F" w:rsidP="00732D26">
      <w:pPr>
        <w:jc w:val="center"/>
        <w:rPr>
          <w:rFonts w:ascii="Arial" w:hAnsi="Arial" w:cs="Arial"/>
          <w:b/>
        </w:rPr>
      </w:pPr>
    </w:p>
    <w:p w14:paraId="325378C2" w14:textId="77777777" w:rsidR="00497B3F" w:rsidRPr="00E56F63" w:rsidRDefault="00497B3F" w:rsidP="00732D26">
      <w:pPr>
        <w:jc w:val="center"/>
        <w:rPr>
          <w:rFonts w:ascii="Arial" w:hAnsi="Arial" w:cs="Arial"/>
          <w:b/>
        </w:rPr>
      </w:pPr>
    </w:p>
    <w:p w14:paraId="4B86D0D3" w14:textId="77777777" w:rsidR="00732D26" w:rsidRPr="00E56F63" w:rsidRDefault="00732D26" w:rsidP="00732D26">
      <w:pPr>
        <w:jc w:val="center"/>
        <w:rPr>
          <w:rFonts w:ascii="Arial" w:hAnsi="Arial" w:cs="Arial"/>
          <w:b/>
        </w:rPr>
      </w:pPr>
    </w:p>
    <w:p w14:paraId="719B33A5" w14:textId="01308AC5" w:rsidR="00036A3D" w:rsidRPr="00E56F63" w:rsidRDefault="00036A3D" w:rsidP="00732D26">
      <w:pPr>
        <w:rPr>
          <w:rFonts w:ascii="Arial" w:hAnsi="Arial" w:cs="Arial"/>
        </w:rPr>
      </w:pPr>
      <w:r w:rsidRPr="00E56F63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705ED44" wp14:editId="196C35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0830" cy="2176145"/>
            <wp:effectExtent l="0" t="0" r="1270" b="0"/>
            <wp:wrapTight wrapText="bothSides">
              <wp:wrapPolygon edited="0">
                <wp:start x="0" y="0"/>
                <wp:lineTo x="0" y="21367"/>
                <wp:lineTo x="21354" y="21367"/>
                <wp:lineTo x="213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6F63">
        <w:rPr>
          <w:rFonts w:ascii="Arial" w:hAnsi="Arial" w:cs="Arial"/>
        </w:rPr>
        <w:t>James Wilcox</w:t>
      </w:r>
    </w:p>
    <w:p w14:paraId="6A19239F" w14:textId="77777777" w:rsidR="00B1316D" w:rsidRPr="00E56F63" w:rsidRDefault="00B1316D" w:rsidP="00732D26">
      <w:pPr>
        <w:rPr>
          <w:rFonts w:ascii="Arial" w:hAnsi="Arial" w:cs="Arial"/>
        </w:rPr>
      </w:pPr>
      <w:r w:rsidRPr="00E56F63">
        <w:rPr>
          <w:rFonts w:ascii="Arial" w:hAnsi="Arial" w:cs="Arial"/>
        </w:rPr>
        <w:t>PTCMW Treasurer</w:t>
      </w:r>
    </w:p>
    <w:p w14:paraId="55CDFCF7" w14:textId="7F162330" w:rsidR="00036A3D" w:rsidRPr="00E56F63" w:rsidRDefault="00036A3D" w:rsidP="00732D26">
      <w:pPr>
        <w:rPr>
          <w:rFonts w:ascii="Arial" w:hAnsi="Arial" w:cs="Arial"/>
          <w:i/>
        </w:rPr>
      </w:pPr>
      <w:r w:rsidRPr="00E56F63">
        <w:rPr>
          <w:rFonts w:ascii="Arial" w:hAnsi="Arial" w:cs="Arial"/>
          <w:i/>
        </w:rPr>
        <w:t>GEICO</w:t>
      </w:r>
    </w:p>
    <w:p w14:paraId="5A6E77E1" w14:textId="77777777" w:rsidR="00036A3D" w:rsidRPr="00E56F63" w:rsidRDefault="00036A3D" w:rsidP="00732D26">
      <w:pPr>
        <w:rPr>
          <w:rFonts w:ascii="Arial" w:hAnsi="Arial" w:cs="Arial"/>
          <w:b/>
        </w:rPr>
      </w:pPr>
    </w:p>
    <w:p w14:paraId="5AF9DF02" w14:textId="3E4850ED" w:rsidR="00036A3D" w:rsidRPr="00E56F63" w:rsidRDefault="00036A3D" w:rsidP="00732D26">
      <w:pPr>
        <w:rPr>
          <w:rFonts w:ascii="Arial" w:hAnsi="Arial" w:cs="Arial"/>
          <w:b/>
        </w:rPr>
      </w:pPr>
    </w:p>
    <w:p w14:paraId="67421BBA" w14:textId="3765FEE1" w:rsidR="00497B3F" w:rsidRPr="00E56F63" w:rsidRDefault="00497B3F" w:rsidP="00732D26">
      <w:pPr>
        <w:rPr>
          <w:rFonts w:ascii="Arial" w:hAnsi="Arial" w:cs="Arial"/>
          <w:b/>
        </w:rPr>
      </w:pPr>
    </w:p>
    <w:p w14:paraId="0EA362BC" w14:textId="2D0F8F34" w:rsidR="00497B3F" w:rsidRPr="00E56F63" w:rsidRDefault="00497B3F" w:rsidP="00732D26">
      <w:pPr>
        <w:rPr>
          <w:rFonts w:ascii="Arial" w:hAnsi="Arial" w:cs="Arial"/>
          <w:b/>
        </w:rPr>
      </w:pPr>
    </w:p>
    <w:p w14:paraId="48F58D9D" w14:textId="0F46A411" w:rsidR="00497B3F" w:rsidRPr="00E56F63" w:rsidRDefault="00497B3F" w:rsidP="00732D26">
      <w:pPr>
        <w:rPr>
          <w:rFonts w:ascii="Arial" w:hAnsi="Arial" w:cs="Arial"/>
          <w:b/>
        </w:rPr>
      </w:pPr>
    </w:p>
    <w:p w14:paraId="2410E676" w14:textId="77777777" w:rsidR="00497B3F" w:rsidRPr="00E56F63" w:rsidRDefault="00497B3F" w:rsidP="00732D26">
      <w:pPr>
        <w:rPr>
          <w:rFonts w:ascii="Arial" w:hAnsi="Arial" w:cs="Arial"/>
          <w:b/>
        </w:rPr>
      </w:pPr>
    </w:p>
    <w:p w14:paraId="14248B1F" w14:textId="58F9EE24" w:rsidR="00497B3F" w:rsidRPr="00E56F63" w:rsidRDefault="00497B3F" w:rsidP="00732D26">
      <w:pPr>
        <w:rPr>
          <w:rFonts w:ascii="Arial" w:hAnsi="Arial" w:cs="Arial"/>
          <w:b/>
        </w:rPr>
      </w:pPr>
    </w:p>
    <w:p w14:paraId="3EED3BA0" w14:textId="752BEBF0" w:rsidR="00CA33D0" w:rsidRPr="00E56F63" w:rsidRDefault="00036A3D" w:rsidP="00732D26">
      <w:pPr>
        <w:rPr>
          <w:rFonts w:ascii="Arial" w:hAnsi="Arial" w:cs="Arial"/>
        </w:rPr>
      </w:pPr>
      <w:bookmarkStart w:id="0" w:name="_GoBack"/>
      <w:r w:rsidRPr="00E56F63">
        <w:rPr>
          <w:rFonts w:ascii="Arial" w:hAnsi="Arial" w:cs="Arial"/>
        </w:rPr>
        <w:t xml:space="preserve">PTCMW is pleased to report </w:t>
      </w:r>
      <w:r w:rsidR="00D0339E" w:rsidRPr="00E56F63">
        <w:rPr>
          <w:rFonts w:ascii="Arial" w:hAnsi="Arial" w:cs="Arial"/>
        </w:rPr>
        <w:t>another successful year</w:t>
      </w:r>
      <w:r w:rsidR="00CA33D0" w:rsidRPr="00E56F63">
        <w:rPr>
          <w:rFonts w:ascii="Arial" w:hAnsi="Arial" w:cs="Arial"/>
        </w:rPr>
        <w:t xml:space="preserve"> </w:t>
      </w:r>
      <w:r w:rsidRPr="00E56F63">
        <w:rPr>
          <w:rFonts w:ascii="Arial" w:hAnsi="Arial" w:cs="Arial"/>
        </w:rPr>
        <w:t xml:space="preserve">offering professional development and networking opportunities at a great value for our members. Last year, we </w:t>
      </w:r>
      <w:r w:rsidR="00D0339E" w:rsidRPr="00E56F63">
        <w:rPr>
          <w:rFonts w:ascii="Arial" w:hAnsi="Arial" w:cs="Arial"/>
        </w:rPr>
        <w:t>operated well within</w:t>
      </w:r>
      <w:r w:rsidRPr="00E56F63">
        <w:rPr>
          <w:rFonts w:ascii="Arial" w:hAnsi="Arial" w:cs="Arial"/>
        </w:rPr>
        <w:t xml:space="preserve"> our budget while offering more networking and presentation events</w:t>
      </w:r>
      <w:r w:rsidR="00CA33D0" w:rsidRPr="00E56F63">
        <w:rPr>
          <w:rFonts w:ascii="Arial" w:hAnsi="Arial" w:cs="Arial"/>
        </w:rPr>
        <w:t xml:space="preserve"> </w:t>
      </w:r>
      <w:r w:rsidR="00D0339E" w:rsidRPr="00E56F63">
        <w:rPr>
          <w:rFonts w:ascii="Arial" w:hAnsi="Arial" w:cs="Arial"/>
        </w:rPr>
        <w:t>and avoiding increasing</w:t>
      </w:r>
      <w:r w:rsidR="00CA33D0" w:rsidRPr="00E56F63">
        <w:rPr>
          <w:rFonts w:ascii="Arial" w:hAnsi="Arial" w:cs="Arial"/>
        </w:rPr>
        <w:t xml:space="preserve"> membership dues. </w:t>
      </w:r>
      <w:r w:rsidRPr="00E56F63">
        <w:rPr>
          <w:rFonts w:ascii="Arial" w:hAnsi="Arial" w:cs="Arial"/>
        </w:rPr>
        <w:t xml:space="preserve">As a non-profit organization, we </w:t>
      </w:r>
      <w:r w:rsidR="00D0339E" w:rsidRPr="00E56F63">
        <w:rPr>
          <w:rFonts w:ascii="Arial" w:hAnsi="Arial" w:cs="Arial"/>
        </w:rPr>
        <w:t xml:space="preserve">seek </w:t>
      </w:r>
      <w:r w:rsidRPr="00E56F63">
        <w:rPr>
          <w:rFonts w:ascii="Arial" w:hAnsi="Arial" w:cs="Arial"/>
        </w:rPr>
        <w:t xml:space="preserve">to use our funds to support new ventures and </w:t>
      </w:r>
      <w:r w:rsidR="00CA33D0" w:rsidRPr="00E56F63">
        <w:rPr>
          <w:rFonts w:ascii="Arial" w:hAnsi="Arial" w:cs="Arial"/>
        </w:rPr>
        <w:t>offer increasing</w:t>
      </w:r>
      <w:r w:rsidR="00D0339E" w:rsidRPr="00E56F63">
        <w:rPr>
          <w:rFonts w:ascii="Arial" w:hAnsi="Arial" w:cs="Arial"/>
        </w:rPr>
        <w:t xml:space="preserve"> value for </w:t>
      </w:r>
      <w:r w:rsidRPr="00E56F63">
        <w:rPr>
          <w:rFonts w:ascii="Arial" w:hAnsi="Arial" w:cs="Arial"/>
        </w:rPr>
        <w:t xml:space="preserve">members in the form of </w:t>
      </w:r>
      <w:r w:rsidR="00CA33D0" w:rsidRPr="00E56F63">
        <w:rPr>
          <w:rFonts w:ascii="Arial" w:hAnsi="Arial" w:cs="Arial"/>
        </w:rPr>
        <w:t xml:space="preserve">high-profile </w:t>
      </w:r>
      <w:r w:rsidR="00D0339E" w:rsidRPr="00E56F63">
        <w:rPr>
          <w:rFonts w:ascii="Arial" w:hAnsi="Arial" w:cs="Arial"/>
        </w:rPr>
        <w:t xml:space="preserve">event </w:t>
      </w:r>
      <w:r w:rsidR="00CA33D0" w:rsidRPr="00E56F63">
        <w:rPr>
          <w:rFonts w:ascii="Arial" w:hAnsi="Arial" w:cs="Arial"/>
        </w:rPr>
        <w:t xml:space="preserve">presentations and </w:t>
      </w:r>
      <w:r w:rsidR="00CD1AE5" w:rsidRPr="00E56F63">
        <w:rPr>
          <w:rFonts w:ascii="Arial" w:hAnsi="Arial" w:cs="Arial"/>
        </w:rPr>
        <w:t>additional opportunities for</w:t>
      </w:r>
      <w:r w:rsidR="00CA33D0" w:rsidRPr="00E56F63">
        <w:rPr>
          <w:rFonts w:ascii="Arial" w:hAnsi="Arial" w:cs="Arial"/>
        </w:rPr>
        <w:t xml:space="preserve"> network</w:t>
      </w:r>
      <w:r w:rsidR="00CD1AE5" w:rsidRPr="00E56F63">
        <w:rPr>
          <w:rFonts w:ascii="Arial" w:hAnsi="Arial" w:cs="Arial"/>
        </w:rPr>
        <w:t>ing</w:t>
      </w:r>
      <w:r w:rsidR="00CA33D0" w:rsidRPr="00E56F63">
        <w:rPr>
          <w:rFonts w:ascii="Arial" w:hAnsi="Arial" w:cs="Arial"/>
        </w:rPr>
        <w:t xml:space="preserve">. Below is a snapshot of </w:t>
      </w:r>
      <w:r w:rsidR="00CD1AE5" w:rsidRPr="00E56F63">
        <w:rPr>
          <w:rFonts w:ascii="Arial" w:hAnsi="Arial" w:cs="Arial"/>
        </w:rPr>
        <w:t>PTCMW in 2018</w:t>
      </w:r>
      <w:r w:rsidR="00CA33D0" w:rsidRPr="00E56F63">
        <w:rPr>
          <w:rFonts w:ascii="Arial" w:hAnsi="Arial" w:cs="Arial"/>
        </w:rPr>
        <w:t xml:space="preserve">, including budget and event information. </w:t>
      </w:r>
      <w:r w:rsidR="00626763" w:rsidRPr="00E56F63">
        <w:rPr>
          <w:rFonts w:ascii="Arial" w:hAnsi="Arial" w:cs="Arial"/>
        </w:rPr>
        <w:t>As of 4/2/</w:t>
      </w:r>
      <w:r w:rsidR="00D0339E" w:rsidRPr="00E56F63">
        <w:rPr>
          <w:rFonts w:ascii="Arial" w:hAnsi="Arial" w:cs="Arial"/>
        </w:rPr>
        <w:t>20</w:t>
      </w:r>
      <w:r w:rsidR="00626763" w:rsidRPr="00E56F63">
        <w:rPr>
          <w:rFonts w:ascii="Arial" w:hAnsi="Arial" w:cs="Arial"/>
        </w:rPr>
        <w:t>19:</w:t>
      </w:r>
    </w:p>
    <w:p w14:paraId="2E15322E" w14:textId="77777777" w:rsidR="00626763" w:rsidRPr="00E56F63" w:rsidRDefault="00626763" w:rsidP="00732D26">
      <w:pPr>
        <w:rPr>
          <w:rFonts w:ascii="Arial" w:hAnsi="Arial" w:cs="Arial"/>
        </w:rPr>
      </w:pPr>
    </w:p>
    <w:p w14:paraId="7E32EC5E" w14:textId="7B72BF07" w:rsidR="00CA33D0" w:rsidRPr="00E56F63" w:rsidRDefault="00BF0FC7" w:rsidP="00732D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6F63">
        <w:rPr>
          <w:rFonts w:ascii="Arial" w:hAnsi="Arial" w:cs="Arial"/>
        </w:rPr>
        <w:t>940 P</w:t>
      </w:r>
      <w:r w:rsidR="00F61749" w:rsidRPr="00E56F63">
        <w:rPr>
          <w:rFonts w:ascii="Arial" w:hAnsi="Arial" w:cs="Arial"/>
        </w:rPr>
        <w:t>TCMW Members (</w:t>
      </w:r>
      <w:r w:rsidR="00F61749" w:rsidRPr="00E56F63">
        <w:rPr>
          <w:rFonts w:ascii="Arial" w:hAnsi="Arial" w:cs="Arial"/>
          <w:i/>
        </w:rPr>
        <w:t>588 Professional and 352</w:t>
      </w:r>
      <w:r w:rsidRPr="00E56F63">
        <w:rPr>
          <w:rFonts w:ascii="Arial" w:hAnsi="Arial" w:cs="Arial"/>
          <w:i/>
        </w:rPr>
        <w:t xml:space="preserve"> Student</w:t>
      </w:r>
      <w:r w:rsidR="00F61749" w:rsidRPr="00E56F63">
        <w:rPr>
          <w:rFonts w:ascii="Arial" w:hAnsi="Arial" w:cs="Arial"/>
          <w:i/>
        </w:rPr>
        <w:t xml:space="preserve"> Members</w:t>
      </w:r>
      <w:r w:rsidRPr="00E56F63">
        <w:rPr>
          <w:rFonts w:ascii="Arial" w:hAnsi="Arial" w:cs="Arial"/>
        </w:rPr>
        <w:t>)</w:t>
      </w:r>
    </w:p>
    <w:p w14:paraId="02A2D44E" w14:textId="57C625D4" w:rsidR="00BF0FC7" w:rsidRPr="00E56F63" w:rsidRDefault="00D0339E" w:rsidP="00732D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6F63">
        <w:rPr>
          <w:rFonts w:ascii="Arial" w:hAnsi="Arial" w:cs="Arial"/>
        </w:rPr>
        <w:t xml:space="preserve">40 Monthly Attendees </w:t>
      </w:r>
      <w:r w:rsidR="00F61749" w:rsidRPr="00E56F63">
        <w:rPr>
          <w:rFonts w:ascii="Arial" w:hAnsi="Arial" w:cs="Arial"/>
        </w:rPr>
        <w:t>(</w:t>
      </w:r>
      <w:r w:rsidRPr="00E56F63">
        <w:rPr>
          <w:rFonts w:ascii="Arial" w:hAnsi="Arial" w:cs="Arial"/>
          <w:i/>
        </w:rPr>
        <w:t>A</w:t>
      </w:r>
      <w:r w:rsidR="00F61749" w:rsidRPr="00E56F63">
        <w:rPr>
          <w:rFonts w:ascii="Arial" w:hAnsi="Arial" w:cs="Arial"/>
          <w:i/>
        </w:rPr>
        <w:t xml:space="preserve">verage of 22 In-Person and </w:t>
      </w:r>
      <w:r w:rsidR="00AE5F5E" w:rsidRPr="00E56F63">
        <w:rPr>
          <w:rFonts w:ascii="Arial" w:hAnsi="Arial" w:cs="Arial"/>
          <w:i/>
        </w:rPr>
        <w:t xml:space="preserve">19 </w:t>
      </w:r>
      <w:r w:rsidR="00F61749" w:rsidRPr="00E56F63">
        <w:rPr>
          <w:rFonts w:ascii="Arial" w:hAnsi="Arial" w:cs="Arial"/>
          <w:i/>
        </w:rPr>
        <w:t xml:space="preserve">Webcast </w:t>
      </w:r>
      <w:r w:rsidRPr="00E56F63">
        <w:rPr>
          <w:rFonts w:ascii="Arial" w:hAnsi="Arial" w:cs="Arial"/>
          <w:i/>
        </w:rPr>
        <w:t>A</w:t>
      </w:r>
      <w:r w:rsidR="00F61749" w:rsidRPr="00E56F63">
        <w:rPr>
          <w:rFonts w:ascii="Arial" w:hAnsi="Arial" w:cs="Arial"/>
          <w:i/>
        </w:rPr>
        <w:t xml:space="preserve">ttendees </w:t>
      </w:r>
      <w:r w:rsidRPr="00E56F63">
        <w:rPr>
          <w:rFonts w:ascii="Arial" w:hAnsi="Arial" w:cs="Arial"/>
          <w:i/>
        </w:rPr>
        <w:t>P</w:t>
      </w:r>
      <w:r w:rsidR="00F61749" w:rsidRPr="00E56F63">
        <w:rPr>
          <w:rFonts w:ascii="Arial" w:hAnsi="Arial" w:cs="Arial"/>
          <w:i/>
        </w:rPr>
        <w:t xml:space="preserve">er </w:t>
      </w:r>
      <w:r w:rsidRPr="00E56F63">
        <w:rPr>
          <w:rFonts w:ascii="Arial" w:hAnsi="Arial" w:cs="Arial"/>
          <w:i/>
          <w:u w:val="single"/>
        </w:rPr>
        <w:t>P</w:t>
      </w:r>
      <w:r w:rsidR="00AE5F5E" w:rsidRPr="00E56F63">
        <w:rPr>
          <w:rFonts w:ascii="Arial" w:hAnsi="Arial" w:cs="Arial"/>
          <w:i/>
          <w:u w:val="single"/>
        </w:rPr>
        <w:t>aid</w:t>
      </w:r>
      <w:r w:rsidR="00F61749" w:rsidRPr="00E56F63">
        <w:rPr>
          <w:rFonts w:ascii="Arial" w:hAnsi="Arial" w:cs="Arial"/>
          <w:i/>
        </w:rPr>
        <w:t xml:space="preserve"> </w:t>
      </w:r>
      <w:r w:rsidRPr="00E56F63">
        <w:rPr>
          <w:rFonts w:ascii="Arial" w:hAnsi="Arial" w:cs="Arial"/>
          <w:i/>
        </w:rPr>
        <w:t>E</w:t>
      </w:r>
      <w:r w:rsidR="00F61749" w:rsidRPr="00E56F63">
        <w:rPr>
          <w:rFonts w:ascii="Arial" w:hAnsi="Arial" w:cs="Arial"/>
          <w:i/>
        </w:rPr>
        <w:t>vent</w:t>
      </w:r>
      <w:r w:rsidR="00AE5F5E" w:rsidRPr="00E56F63">
        <w:rPr>
          <w:rFonts w:ascii="Arial" w:hAnsi="Arial" w:cs="Arial"/>
        </w:rPr>
        <w:t>)</w:t>
      </w:r>
    </w:p>
    <w:p w14:paraId="3BB75515" w14:textId="2F9DFBEC" w:rsidR="00CA33D0" w:rsidRPr="00E56F63" w:rsidRDefault="00F61749" w:rsidP="00732D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6F63">
        <w:rPr>
          <w:rFonts w:ascii="Arial" w:hAnsi="Arial" w:cs="Arial"/>
        </w:rPr>
        <w:t>22 2018 Fall Event Sponsors (</w:t>
      </w:r>
      <w:r w:rsidRPr="00E56F63">
        <w:rPr>
          <w:rFonts w:ascii="Arial" w:hAnsi="Arial" w:cs="Arial"/>
          <w:i/>
        </w:rPr>
        <w:t>1 Platinum, 5 Gold, 6 Silver, 3 Bronze, and 7 G</w:t>
      </w:r>
      <w:r w:rsidR="00CA33D0" w:rsidRPr="00E56F63">
        <w:rPr>
          <w:rFonts w:ascii="Arial" w:hAnsi="Arial" w:cs="Arial"/>
          <w:i/>
        </w:rPr>
        <w:t>ov’t</w:t>
      </w:r>
      <w:r w:rsidRPr="00E56F63">
        <w:rPr>
          <w:rFonts w:ascii="Arial" w:hAnsi="Arial" w:cs="Arial"/>
          <w:i/>
        </w:rPr>
        <w:t xml:space="preserve"> Sponsors</w:t>
      </w:r>
      <w:r w:rsidR="00CA33D0" w:rsidRPr="00E56F63">
        <w:rPr>
          <w:rFonts w:ascii="Arial" w:hAnsi="Arial" w:cs="Arial"/>
        </w:rPr>
        <w:t>)</w:t>
      </w:r>
    </w:p>
    <w:p w14:paraId="0347C892" w14:textId="3D27AB4B" w:rsidR="00CA33D0" w:rsidRPr="00E56F63" w:rsidRDefault="00BF0FC7" w:rsidP="00732D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6F63">
        <w:rPr>
          <w:rFonts w:ascii="Arial" w:hAnsi="Arial" w:cs="Arial"/>
        </w:rPr>
        <w:t>191 2018 Fall Event Attendees</w:t>
      </w:r>
      <w:r w:rsidR="00F61749" w:rsidRPr="00E56F63">
        <w:rPr>
          <w:rFonts w:ascii="Arial" w:hAnsi="Arial" w:cs="Arial"/>
        </w:rPr>
        <w:t xml:space="preserve"> (</w:t>
      </w:r>
      <w:r w:rsidR="00F61749" w:rsidRPr="00E56F63">
        <w:rPr>
          <w:rFonts w:ascii="Arial" w:hAnsi="Arial" w:cs="Arial"/>
          <w:i/>
        </w:rPr>
        <w:t>14</w:t>
      </w:r>
      <w:r w:rsidR="00AE4E85" w:rsidRPr="00E56F63">
        <w:rPr>
          <w:rFonts w:ascii="Arial" w:hAnsi="Arial" w:cs="Arial"/>
          <w:i/>
        </w:rPr>
        <w:t>1</w:t>
      </w:r>
      <w:r w:rsidR="00F61749" w:rsidRPr="00E56F63">
        <w:rPr>
          <w:rFonts w:ascii="Arial" w:hAnsi="Arial" w:cs="Arial"/>
          <w:i/>
        </w:rPr>
        <w:t xml:space="preserve"> Professional and</w:t>
      </w:r>
      <w:r w:rsidR="009C185B" w:rsidRPr="00E56F63">
        <w:rPr>
          <w:rFonts w:ascii="Arial" w:hAnsi="Arial" w:cs="Arial"/>
          <w:i/>
        </w:rPr>
        <w:t xml:space="preserve"> 50 Student</w:t>
      </w:r>
      <w:r w:rsidR="00F61749" w:rsidRPr="00E56F63">
        <w:rPr>
          <w:rFonts w:ascii="Arial" w:hAnsi="Arial" w:cs="Arial"/>
          <w:i/>
        </w:rPr>
        <w:t xml:space="preserve"> Members</w:t>
      </w:r>
      <w:r w:rsidR="009C185B" w:rsidRPr="00E56F63">
        <w:rPr>
          <w:rFonts w:ascii="Arial" w:hAnsi="Arial" w:cs="Arial"/>
        </w:rPr>
        <w:t>)</w:t>
      </w:r>
    </w:p>
    <w:p w14:paraId="533380B2" w14:textId="3ABC83B3" w:rsidR="007340CB" w:rsidRPr="00E56F63" w:rsidRDefault="00F61749" w:rsidP="00732D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6F63">
        <w:rPr>
          <w:rFonts w:ascii="Arial" w:hAnsi="Arial" w:cs="Arial"/>
        </w:rPr>
        <w:t>$43,998</w:t>
      </w:r>
      <w:r w:rsidR="00CA33D0" w:rsidRPr="00E56F63">
        <w:rPr>
          <w:rFonts w:ascii="Arial" w:hAnsi="Arial" w:cs="Arial"/>
        </w:rPr>
        <w:t xml:space="preserve"> in assets</w:t>
      </w:r>
    </w:p>
    <w:p w14:paraId="79DD2080" w14:textId="3143D712" w:rsidR="00280366" w:rsidRPr="00E56F63" w:rsidRDefault="00280366" w:rsidP="00732D26">
      <w:pPr>
        <w:rPr>
          <w:rFonts w:ascii="Arial" w:hAnsi="Arial" w:cs="Arial"/>
          <w:b/>
        </w:rPr>
      </w:pPr>
    </w:p>
    <w:p w14:paraId="3334C7A9" w14:textId="063B3145" w:rsidR="00AD673A" w:rsidRPr="00E56F63" w:rsidRDefault="00AD673A" w:rsidP="00732D26">
      <w:pPr>
        <w:jc w:val="center"/>
        <w:rPr>
          <w:rFonts w:ascii="Arial" w:hAnsi="Arial" w:cs="Arial"/>
          <w:b/>
          <w:sz w:val="28"/>
        </w:rPr>
      </w:pPr>
      <w:r w:rsidRPr="00E56F63">
        <w:rPr>
          <w:rFonts w:ascii="Arial" w:hAnsi="Arial" w:cs="Arial"/>
          <w:b/>
          <w:sz w:val="28"/>
        </w:rPr>
        <w:t xml:space="preserve">2018 </w:t>
      </w:r>
      <w:r w:rsidR="00D54029" w:rsidRPr="00E56F63">
        <w:rPr>
          <w:rFonts w:ascii="Arial" w:hAnsi="Arial" w:cs="Arial"/>
          <w:b/>
          <w:sz w:val="28"/>
        </w:rPr>
        <w:t xml:space="preserve">Final </w:t>
      </w:r>
      <w:r w:rsidR="00174B2E" w:rsidRPr="00E56F63">
        <w:rPr>
          <w:rFonts w:ascii="Arial" w:hAnsi="Arial" w:cs="Arial"/>
          <w:b/>
          <w:sz w:val="28"/>
        </w:rPr>
        <w:t xml:space="preserve">Budget </w:t>
      </w:r>
      <w:r w:rsidR="00C27C57" w:rsidRPr="00E56F63">
        <w:rPr>
          <w:rFonts w:ascii="Arial" w:hAnsi="Arial" w:cs="Arial"/>
          <w:b/>
          <w:sz w:val="28"/>
        </w:rPr>
        <w:t xml:space="preserve">in </w:t>
      </w:r>
      <w:r w:rsidR="00174B2E" w:rsidRPr="00E56F63">
        <w:rPr>
          <w:rFonts w:ascii="Arial" w:hAnsi="Arial" w:cs="Arial"/>
          <w:b/>
          <w:sz w:val="28"/>
        </w:rPr>
        <w:t>Review</w:t>
      </w:r>
    </w:p>
    <w:p w14:paraId="1E4EDBF3" w14:textId="77777777" w:rsidR="004C20BB" w:rsidRPr="00E56F63" w:rsidRDefault="004C20BB" w:rsidP="00732D26">
      <w:pPr>
        <w:rPr>
          <w:rFonts w:ascii="Arial" w:hAnsi="Arial" w:cs="Arial"/>
        </w:rPr>
      </w:pPr>
    </w:p>
    <w:p w14:paraId="5258B72B" w14:textId="352FAF53" w:rsidR="00B33708" w:rsidRPr="00E56F63" w:rsidRDefault="00B33708" w:rsidP="00732D26">
      <w:pPr>
        <w:rPr>
          <w:rFonts w:ascii="Arial" w:hAnsi="Arial" w:cs="Arial"/>
        </w:rPr>
      </w:pPr>
      <w:r w:rsidRPr="00E56F63">
        <w:rPr>
          <w:rFonts w:ascii="Arial" w:hAnsi="Arial" w:cs="Arial"/>
        </w:rPr>
        <w:t xml:space="preserve">Below are PTCMW’s </w:t>
      </w:r>
      <w:r w:rsidR="007C2B7D" w:rsidRPr="00E56F63">
        <w:rPr>
          <w:rFonts w:ascii="Arial" w:hAnsi="Arial" w:cs="Arial"/>
        </w:rPr>
        <w:t>p</w:t>
      </w:r>
      <w:r w:rsidR="004C20BB" w:rsidRPr="00E56F63">
        <w:rPr>
          <w:rFonts w:ascii="Arial" w:hAnsi="Arial" w:cs="Arial"/>
        </w:rPr>
        <w:t>lanned</w:t>
      </w:r>
      <w:r w:rsidR="007C2B7D" w:rsidRPr="00E56F63">
        <w:rPr>
          <w:rFonts w:ascii="Arial" w:hAnsi="Arial" w:cs="Arial"/>
        </w:rPr>
        <w:t xml:space="preserve"> and final</w:t>
      </w:r>
      <w:r w:rsidRPr="00E56F63">
        <w:rPr>
          <w:rFonts w:ascii="Arial" w:hAnsi="Arial" w:cs="Arial"/>
        </w:rPr>
        <w:t xml:space="preserve"> budgets</w:t>
      </w:r>
      <w:r w:rsidR="007C2B7D" w:rsidRPr="00E56F63">
        <w:rPr>
          <w:rFonts w:ascii="Arial" w:hAnsi="Arial" w:cs="Arial"/>
        </w:rPr>
        <w:t xml:space="preserve"> for </w:t>
      </w:r>
      <w:r w:rsidR="004C20BB" w:rsidRPr="00E56F63">
        <w:rPr>
          <w:rFonts w:ascii="Arial" w:hAnsi="Arial" w:cs="Arial"/>
        </w:rPr>
        <w:t>2018</w:t>
      </w:r>
      <w:r w:rsidRPr="00E56F63">
        <w:rPr>
          <w:rFonts w:ascii="Arial" w:hAnsi="Arial" w:cs="Arial"/>
        </w:rPr>
        <w:t xml:space="preserve">. </w:t>
      </w:r>
      <w:r w:rsidR="00B97871" w:rsidRPr="00E56F63">
        <w:rPr>
          <w:rFonts w:ascii="Arial" w:hAnsi="Arial" w:cs="Arial"/>
        </w:rPr>
        <w:t>Overall, w</w:t>
      </w:r>
      <w:r w:rsidRPr="00E56F63">
        <w:rPr>
          <w:rFonts w:ascii="Arial" w:hAnsi="Arial" w:cs="Arial"/>
        </w:rPr>
        <w:t xml:space="preserve">e </w:t>
      </w:r>
      <w:r w:rsidR="007C2B7D" w:rsidRPr="00E56F63">
        <w:rPr>
          <w:rFonts w:ascii="Arial" w:hAnsi="Arial" w:cs="Arial"/>
        </w:rPr>
        <w:t>budgeted</w:t>
      </w:r>
      <w:r w:rsidRPr="00E56F63">
        <w:rPr>
          <w:rFonts w:ascii="Arial" w:hAnsi="Arial" w:cs="Arial"/>
        </w:rPr>
        <w:t xml:space="preserve"> </w:t>
      </w:r>
      <w:r w:rsidR="004C20BB" w:rsidRPr="00E56F63">
        <w:rPr>
          <w:rFonts w:ascii="Arial" w:hAnsi="Arial" w:cs="Arial"/>
        </w:rPr>
        <w:t>for an income of</w:t>
      </w:r>
      <w:r w:rsidRPr="00E56F63">
        <w:rPr>
          <w:rFonts w:ascii="Arial" w:hAnsi="Arial" w:cs="Arial"/>
        </w:rPr>
        <w:t xml:space="preserve"> </w:t>
      </w:r>
      <w:r w:rsidR="00B97871" w:rsidRPr="00E56F63">
        <w:rPr>
          <w:rFonts w:ascii="Arial" w:hAnsi="Arial" w:cs="Arial"/>
        </w:rPr>
        <w:t xml:space="preserve">about </w:t>
      </w:r>
      <w:r w:rsidRPr="00E56F63">
        <w:rPr>
          <w:rFonts w:ascii="Arial" w:hAnsi="Arial" w:cs="Arial"/>
        </w:rPr>
        <w:t xml:space="preserve">$27k, and ended up </w:t>
      </w:r>
      <w:r w:rsidR="004C20BB" w:rsidRPr="00E56F63">
        <w:rPr>
          <w:rFonts w:ascii="Arial" w:hAnsi="Arial" w:cs="Arial"/>
        </w:rPr>
        <w:t>bringing in</w:t>
      </w:r>
      <w:r w:rsidRPr="00E56F63">
        <w:rPr>
          <w:rFonts w:ascii="Arial" w:hAnsi="Arial" w:cs="Arial"/>
        </w:rPr>
        <w:t xml:space="preserve"> just under $34k—about 26% more than expected. </w:t>
      </w:r>
      <w:r w:rsidR="00B97871" w:rsidRPr="00E56F63">
        <w:rPr>
          <w:rFonts w:ascii="Arial" w:hAnsi="Arial" w:cs="Arial"/>
        </w:rPr>
        <w:t>Our</w:t>
      </w:r>
      <w:r w:rsidRPr="00E56F63">
        <w:rPr>
          <w:rFonts w:ascii="Arial" w:hAnsi="Arial" w:cs="Arial"/>
        </w:rPr>
        <w:t xml:space="preserve"> budget for expenses was just under $32k last year, with actual </w:t>
      </w:r>
      <w:r w:rsidR="004C20BB" w:rsidRPr="00E56F63">
        <w:rPr>
          <w:rFonts w:ascii="Arial" w:hAnsi="Arial" w:cs="Arial"/>
        </w:rPr>
        <w:t xml:space="preserve">final </w:t>
      </w:r>
      <w:r w:rsidRPr="00E56F63">
        <w:rPr>
          <w:rFonts w:ascii="Arial" w:hAnsi="Arial" w:cs="Arial"/>
        </w:rPr>
        <w:t xml:space="preserve">expenses </w:t>
      </w:r>
      <w:r w:rsidR="00B97871" w:rsidRPr="00E56F63">
        <w:rPr>
          <w:rFonts w:ascii="Arial" w:hAnsi="Arial" w:cs="Arial"/>
        </w:rPr>
        <w:t>of about</w:t>
      </w:r>
      <w:r w:rsidRPr="00E56F63">
        <w:rPr>
          <w:rFonts w:ascii="Arial" w:hAnsi="Arial" w:cs="Arial"/>
        </w:rPr>
        <w:t xml:space="preserve"> $37k—</w:t>
      </w:r>
      <w:r w:rsidR="001B0690" w:rsidRPr="00E56F63">
        <w:rPr>
          <w:rFonts w:ascii="Arial" w:hAnsi="Arial" w:cs="Arial"/>
        </w:rPr>
        <w:t xml:space="preserve">roughly </w:t>
      </w:r>
      <w:r w:rsidRPr="00E56F63">
        <w:rPr>
          <w:rFonts w:ascii="Arial" w:hAnsi="Arial" w:cs="Arial"/>
        </w:rPr>
        <w:t xml:space="preserve">18% over budget. </w:t>
      </w:r>
      <w:r w:rsidR="004C20BB" w:rsidRPr="00E56F63">
        <w:rPr>
          <w:rFonts w:ascii="Arial" w:hAnsi="Arial" w:cs="Arial"/>
        </w:rPr>
        <w:t>Going into the year, we</w:t>
      </w:r>
      <w:r w:rsidR="00B97871" w:rsidRPr="00E56F63">
        <w:rPr>
          <w:rFonts w:ascii="Arial" w:hAnsi="Arial" w:cs="Arial"/>
        </w:rPr>
        <w:t xml:space="preserve"> expected a loss of almost $5k in 2018 due to</w:t>
      </w:r>
      <w:r w:rsidR="004C20BB" w:rsidRPr="00E56F63">
        <w:rPr>
          <w:rFonts w:ascii="Arial" w:hAnsi="Arial" w:cs="Arial"/>
        </w:rPr>
        <w:t xml:space="preserve"> planned</w:t>
      </w:r>
      <w:r w:rsidR="00B97871" w:rsidRPr="00E56F63">
        <w:rPr>
          <w:rFonts w:ascii="Arial" w:hAnsi="Arial" w:cs="Arial"/>
        </w:rPr>
        <w:t xml:space="preserve"> investments </w:t>
      </w:r>
      <w:r w:rsidR="004C20BB" w:rsidRPr="00E56F63">
        <w:rPr>
          <w:rFonts w:ascii="Arial" w:hAnsi="Arial" w:cs="Arial"/>
        </w:rPr>
        <w:t>in our offerings</w:t>
      </w:r>
      <w:r w:rsidR="001B0690" w:rsidRPr="00E56F63">
        <w:rPr>
          <w:rFonts w:ascii="Arial" w:hAnsi="Arial" w:cs="Arial"/>
        </w:rPr>
        <w:t xml:space="preserve"> and we ended up with a final budget deficit of about $3k</w:t>
      </w:r>
      <w:r w:rsidR="00885F24" w:rsidRPr="00E56F63">
        <w:rPr>
          <w:rFonts w:ascii="Arial" w:hAnsi="Arial" w:cs="Arial"/>
        </w:rPr>
        <w:t xml:space="preserve">. Detailed </w:t>
      </w:r>
      <w:r w:rsidR="00B97871" w:rsidRPr="00E56F63">
        <w:rPr>
          <w:rFonts w:ascii="Arial" w:hAnsi="Arial" w:cs="Arial"/>
        </w:rPr>
        <w:t>incom</w:t>
      </w:r>
      <w:r w:rsidR="00885F24" w:rsidRPr="00E56F63">
        <w:rPr>
          <w:rFonts w:ascii="Arial" w:hAnsi="Arial" w:cs="Arial"/>
        </w:rPr>
        <w:t>e and expenditure actuals are outlined below:</w:t>
      </w:r>
    </w:p>
    <w:p w14:paraId="3077C7CF" w14:textId="77777777" w:rsidR="00AD673A" w:rsidRPr="00E56F63" w:rsidRDefault="00AD673A" w:rsidP="00732D26">
      <w:pPr>
        <w:rPr>
          <w:rFonts w:ascii="Arial" w:hAnsi="Arial" w:cs="Arial"/>
          <w:b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6160"/>
        <w:gridCol w:w="1060"/>
        <w:gridCol w:w="1060"/>
        <w:gridCol w:w="1480"/>
      </w:tblGrid>
      <w:tr w:rsidR="00AD673A" w:rsidRPr="00E56F63" w14:paraId="11AB5654" w14:textId="77777777" w:rsidTr="00410145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00B050"/>
            <w:noWrap/>
            <w:vAlign w:val="center"/>
            <w:hideMark/>
          </w:tcPr>
          <w:p w14:paraId="7E392C35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bookmarkStart w:id="1" w:name="RANGE!B2:E20"/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2018 INCOME</w:t>
            </w:r>
            <w:bookmarkEnd w:id="1"/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7261EF8D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Budget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00B050"/>
            <w:noWrap/>
            <w:vAlign w:val="center"/>
            <w:hideMark/>
          </w:tcPr>
          <w:p w14:paraId="322FEFA1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Actual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00B050"/>
            <w:vAlign w:val="center"/>
            <w:hideMark/>
          </w:tcPr>
          <w:p w14:paraId="7408D39E" w14:textId="77777777" w:rsidR="00AD673A" w:rsidRPr="00E56F63" w:rsidRDefault="007C2B7D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% </w:t>
            </w:r>
            <w:r w:rsidR="004B770C"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Change</w:t>
            </w:r>
          </w:p>
        </w:tc>
      </w:tr>
      <w:tr w:rsidR="00AD673A" w:rsidRPr="00E56F63" w14:paraId="10C4E4F2" w14:textId="77777777" w:rsidTr="00410145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51B86CA" w14:textId="77777777" w:rsidR="00AD673A" w:rsidRPr="00E56F63" w:rsidRDefault="00AD673A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1.1 and 1.2 Monthly Meetings and Workshops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C0EEF04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$2,720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3F43B34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$6,120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B90100E" w14:textId="77777777" w:rsidR="00AD673A" w:rsidRPr="00E56F63" w:rsidRDefault="007C2B7D" w:rsidP="00732D26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+1</w:t>
            </w:r>
            <w:r w:rsidR="00AD673A" w:rsidRPr="00E56F6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25%</w:t>
            </w:r>
          </w:p>
        </w:tc>
      </w:tr>
      <w:tr w:rsidR="00AD673A" w:rsidRPr="00E56F63" w14:paraId="78BBF574" w14:textId="77777777" w:rsidTr="00410145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C8FD521" w14:textId="77777777" w:rsidR="00AD673A" w:rsidRPr="00E56F63" w:rsidRDefault="00AD673A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1.3 Student Consulting Challenge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4F03C30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$300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F41D82C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$1,845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C0F0EEA" w14:textId="77777777" w:rsidR="00AD673A" w:rsidRPr="00E56F63" w:rsidRDefault="007C2B7D" w:rsidP="00732D26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+5</w:t>
            </w:r>
            <w:r w:rsidR="00AD673A" w:rsidRPr="00E56F6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15%</w:t>
            </w:r>
          </w:p>
        </w:tc>
      </w:tr>
      <w:tr w:rsidR="00AD673A" w:rsidRPr="00E56F63" w14:paraId="6A670099" w14:textId="77777777" w:rsidTr="00410145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C46A29" w14:textId="77777777" w:rsidR="00AD673A" w:rsidRPr="00E56F63" w:rsidRDefault="00AD673A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1.4 Fall Event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3298D05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$19,075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C13E8C2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$20,435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2D5428E" w14:textId="77777777" w:rsidR="00AD673A" w:rsidRPr="00E56F63" w:rsidRDefault="007C2B7D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+</w:t>
            </w:r>
            <w:r w:rsidR="00AD673A"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7%</w:t>
            </w:r>
          </w:p>
        </w:tc>
      </w:tr>
      <w:tr w:rsidR="00AD673A" w:rsidRPr="00E56F63" w14:paraId="2908D469" w14:textId="77777777" w:rsidTr="00410145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C8EE492" w14:textId="77777777" w:rsidR="00AD673A" w:rsidRPr="00E56F63" w:rsidRDefault="00AD673A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1.5 Membership Dues (not including those from the fall event)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0E37999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$4,875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1BCC424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$5,460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1BD5F97" w14:textId="77777777" w:rsidR="00AD673A" w:rsidRPr="00E56F63" w:rsidRDefault="007C2B7D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+</w:t>
            </w:r>
            <w:r w:rsidR="00AD673A"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12%</w:t>
            </w:r>
          </w:p>
        </w:tc>
      </w:tr>
      <w:tr w:rsidR="00AD673A" w:rsidRPr="00E56F63" w14:paraId="41DF8959" w14:textId="77777777" w:rsidTr="00410145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2C98E98" w14:textId="77777777" w:rsidR="00AD673A" w:rsidRPr="00E56F63" w:rsidRDefault="00AD673A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1.6 Miscellaneous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9703DE1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202A05B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$25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9CE7EB4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D673A" w:rsidRPr="00E56F63" w14:paraId="2D3102BE" w14:textId="77777777" w:rsidTr="00410145">
        <w:trPr>
          <w:trHeight w:val="2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00B050"/>
            <w:noWrap/>
            <w:vAlign w:val="center"/>
            <w:hideMark/>
          </w:tcPr>
          <w:p w14:paraId="37A4F087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INCOME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000000"/>
            <w:noWrap/>
            <w:vAlign w:val="center"/>
            <w:hideMark/>
          </w:tcPr>
          <w:p w14:paraId="4DAC32AD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$26,970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000000"/>
            <w:noWrap/>
            <w:vAlign w:val="center"/>
            <w:hideMark/>
          </w:tcPr>
          <w:p w14:paraId="6220E333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$33,885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000000"/>
            <w:noWrap/>
            <w:vAlign w:val="center"/>
            <w:hideMark/>
          </w:tcPr>
          <w:p w14:paraId="22B8F8E4" w14:textId="77777777" w:rsidR="00AD673A" w:rsidRPr="00E56F63" w:rsidRDefault="007C2B7D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+</w:t>
            </w:r>
            <w:r w:rsidR="00AD673A"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26%</w:t>
            </w:r>
          </w:p>
        </w:tc>
      </w:tr>
      <w:tr w:rsidR="00AD673A" w:rsidRPr="00E56F63" w14:paraId="51E4A5AF" w14:textId="77777777" w:rsidTr="00410145">
        <w:trPr>
          <w:trHeight w:val="13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30A8A" w14:textId="77777777" w:rsidR="00AD673A" w:rsidRPr="00E56F63" w:rsidRDefault="00AD673A" w:rsidP="00732D2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82FF7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4FCC8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26DA1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D673A" w:rsidRPr="00E56F63" w14:paraId="4B22F1B8" w14:textId="77777777" w:rsidTr="00D0339E">
        <w:trPr>
          <w:trHeight w:val="295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C00000"/>
            <w:noWrap/>
            <w:vAlign w:val="center"/>
            <w:hideMark/>
          </w:tcPr>
          <w:p w14:paraId="4BB50F81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2018 EXPENDITURES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7C209509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Budget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0000"/>
            <w:noWrap/>
            <w:vAlign w:val="center"/>
            <w:hideMark/>
          </w:tcPr>
          <w:p w14:paraId="09027DEC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Actual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0000"/>
            <w:vAlign w:val="center"/>
            <w:hideMark/>
          </w:tcPr>
          <w:p w14:paraId="3FA57FC1" w14:textId="77777777" w:rsidR="00AD673A" w:rsidRPr="00E56F63" w:rsidRDefault="007C2B7D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% </w:t>
            </w:r>
            <w:r w:rsidR="004B770C"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Change</w:t>
            </w:r>
          </w:p>
        </w:tc>
      </w:tr>
      <w:tr w:rsidR="00AD673A" w:rsidRPr="00E56F63" w14:paraId="705562F2" w14:textId="77777777" w:rsidTr="00410145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vAlign w:val="center"/>
            <w:hideMark/>
          </w:tcPr>
          <w:p w14:paraId="169FFB2F" w14:textId="77777777" w:rsidR="00AD673A" w:rsidRPr="00E56F63" w:rsidRDefault="00AD673A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2.1 and 2.2 Monthly Meetings and Workshops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273FDAA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$5,745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6D71018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$10,751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3911814" w14:textId="77777777" w:rsidR="00AD673A" w:rsidRPr="00E56F63" w:rsidRDefault="007C2B7D" w:rsidP="00732D26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+</w:t>
            </w:r>
            <w:r w:rsidR="00AD673A" w:rsidRPr="00E56F6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87%</w:t>
            </w:r>
          </w:p>
        </w:tc>
      </w:tr>
      <w:tr w:rsidR="00AD673A" w:rsidRPr="00E56F63" w14:paraId="7F04C109" w14:textId="77777777" w:rsidTr="00410145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vAlign w:val="center"/>
            <w:hideMark/>
          </w:tcPr>
          <w:p w14:paraId="16C1DA26" w14:textId="77777777" w:rsidR="00AD673A" w:rsidRPr="00E56F63" w:rsidRDefault="00AD673A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2.3 Student Consulting Challenge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5DA9D94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$2,750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EDBEBF7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$2,893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5F83B38" w14:textId="77777777" w:rsidR="00AD673A" w:rsidRPr="00E56F63" w:rsidRDefault="007C2B7D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+</w:t>
            </w:r>
            <w:r w:rsidR="00AD673A"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5%</w:t>
            </w:r>
          </w:p>
        </w:tc>
      </w:tr>
      <w:tr w:rsidR="00AD673A" w:rsidRPr="00E56F63" w14:paraId="6C3EC9D0" w14:textId="77777777" w:rsidTr="00410145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vAlign w:val="center"/>
            <w:hideMark/>
          </w:tcPr>
          <w:p w14:paraId="746E7379" w14:textId="77777777" w:rsidR="00AD673A" w:rsidRPr="00E56F63" w:rsidRDefault="00AD673A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2.4 Fall Event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C50D6E0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$16,453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4503B32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$18,972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4FBD59E" w14:textId="77777777" w:rsidR="00AD673A" w:rsidRPr="00E56F63" w:rsidRDefault="007C2B7D" w:rsidP="00732D26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+</w:t>
            </w:r>
            <w:r w:rsidR="00AD673A" w:rsidRPr="00E56F6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15%</w:t>
            </w:r>
          </w:p>
        </w:tc>
      </w:tr>
      <w:tr w:rsidR="00AD673A" w:rsidRPr="00E56F63" w14:paraId="4A6DA576" w14:textId="77777777" w:rsidTr="00410145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vAlign w:val="center"/>
            <w:hideMark/>
          </w:tcPr>
          <w:p w14:paraId="3FD13257" w14:textId="77777777" w:rsidR="00AD673A" w:rsidRPr="00E56F63" w:rsidRDefault="00AD673A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2.5 Website and Software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784FE28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$2,278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4173A78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$1,987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A2AE3B0" w14:textId="77777777" w:rsidR="00AD673A" w:rsidRPr="00E56F63" w:rsidRDefault="007C2B7D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-13</w:t>
            </w:r>
            <w:r w:rsidR="00AD673A"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%</w:t>
            </w:r>
          </w:p>
        </w:tc>
      </w:tr>
      <w:tr w:rsidR="00AD673A" w:rsidRPr="00E56F63" w14:paraId="293AFE04" w14:textId="77777777" w:rsidTr="00410145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vAlign w:val="center"/>
            <w:hideMark/>
          </w:tcPr>
          <w:p w14:paraId="6B71877E" w14:textId="77777777" w:rsidR="00AD673A" w:rsidRPr="00E56F63" w:rsidRDefault="00AD673A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2.6 Finance Charges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D67CEA0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$777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26ED906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$939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1886943" w14:textId="77777777" w:rsidR="00AD673A" w:rsidRPr="00E56F63" w:rsidRDefault="007C2B7D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+</w:t>
            </w:r>
            <w:r w:rsidR="00AD673A"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21%</w:t>
            </w:r>
          </w:p>
        </w:tc>
      </w:tr>
      <w:tr w:rsidR="00AD673A" w:rsidRPr="00E56F63" w14:paraId="2B804B88" w14:textId="77777777" w:rsidTr="00410145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vAlign w:val="center"/>
            <w:hideMark/>
          </w:tcPr>
          <w:p w14:paraId="572FAEA7" w14:textId="77777777" w:rsidR="00AD673A" w:rsidRPr="00E56F63" w:rsidRDefault="00AD673A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2.7 PTCMW Professional Organization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B4C1648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$1,205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0FFAB4A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$1,201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B5AF546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0%</w:t>
            </w:r>
          </w:p>
        </w:tc>
      </w:tr>
      <w:tr w:rsidR="00AD673A" w:rsidRPr="00E56F63" w14:paraId="424454AE" w14:textId="77777777" w:rsidTr="00410145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vAlign w:val="center"/>
            <w:hideMark/>
          </w:tcPr>
          <w:p w14:paraId="73DE76B9" w14:textId="77777777" w:rsidR="00AD673A" w:rsidRPr="00E56F63" w:rsidRDefault="00AD673A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2.8 Membership Benefits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87D7AA3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0D69A8D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3F3FD2D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D673A" w:rsidRPr="00E56F63" w14:paraId="06FF9005" w14:textId="77777777" w:rsidTr="00410145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2DCDB"/>
            <w:noWrap/>
            <w:vAlign w:val="center"/>
            <w:hideMark/>
          </w:tcPr>
          <w:p w14:paraId="52716CEE" w14:textId="77777777" w:rsidR="00AD673A" w:rsidRPr="00E56F63" w:rsidRDefault="00AD673A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2.9 Miscellaneous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46CB881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$1,450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9EF2918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$487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7085DB4" w14:textId="77777777" w:rsidR="00AD673A" w:rsidRPr="00E56F63" w:rsidRDefault="004B770C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="007C2B7D"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67</w:t>
            </w:r>
            <w:r w:rsidR="00AD673A"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%</w:t>
            </w:r>
          </w:p>
        </w:tc>
      </w:tr>
      <w:tr w:rsidR="00AD673A" w:rsidRPr="00E56F63" w14:paraId="20B851E1" w14:textId="77777777" w:rsidTr="00410145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0000"/>
            <w:noWrap/>
            <w:vAlign w:val="center"/>
            <w:hideMark/>
          </w:tcPr>
          <w:p w14:paraId="1544CA30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EXPENDITURES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B0D5A06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$31,658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A434FB4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$37,230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35576B9" w14:textId="77777777" w:rsidR="00AD673A" w:rsidRPr="00E56F63" w:rsidRDefault="007C2B7D" w:rsidP="0073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+</w:t>
            </w:r>
            <w:r w:rsidR="00AD673A" w:rsidRPr="00E56F6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18%</w:t>
            </w:r>
          </w:p>
        </w:tc>
      </w:tr>
      <w:tr w:rsidR="00AD673A" w:rsidRPr="00E56F63" w14:paraId="571CB41C" w14:textId="77777777" w:rsidTr="00410145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8DB4E2"/>
            <w:noWrap/>
            <w:vAlign w:val="center"/>
            <w:hideMark/>
          </w:tcPr>
          <w:p w14:paraId="5A29E0D4" w14:textId="29A22025" w:rsidR="00AD673A" w:rsidRPr="00E56F63" w:rsidRDefault="001C005F" w:rsidP="0073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Net Income or Deficit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13A318C8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($4,688)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72FA7C7B" w14:textId="77777777" w:rsidR="00AD673A" w:rsidRPr="00E56F63" w:rsidRDefault="00AD673A" w:rsidP="0073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($3,346)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0E8673FF" w14:textId="77777777" w:rsidR="00AD673A" w:rsidRPr="00E56F63" w:rsidRDefault="007C2B7D" w:rsidP="0073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-29%</w:t>
            </w:r>
            <w:r w:rsidR="00AD673A" w:rsidRPr="00E56F6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</w:tbl>
    <w:p w14:paraId="298CD6B2" w14:textId="25F9C5CA" w:rsidR="00BB4D9E" w:rsidRPr="00E56F63" w:rsidRDefault="00BB4D9E" w:rsidP="00732D26">
      <w:pPr>
        <w:rPr>
          <w:rFonts w:ascii="Arial" w:hAnsi="Arial" w:cs="Arial"/>
          <w:b/>
        </w:rPr>
      </w:pPr>
    </w:p>
    <w:p w14:paraId="2BCC6E73" w14:textId="7C45EED0" w:rsidR="00BB4D9E" w:rsidRPr="00E56F63" w:rsidRDefault="00BB4D9E" w:rsidP="00732D26">
      <w:pPr>
        <w:rPr>
          <w:rFonts w:ascii="Arial" w:hAnsi="Arial" w:cs="Arial"/>
        </w:rPr>
      </w:pPr>
      <w:r w:rsidRPr="00E56F63">
        <w:rPr>
          <w:rFonts w:ascii="Arial" w:hAnsi="Arial" w:cs="Arial"/>
        </w:rPr>
        <w:t xml:space="preserve">In 2018, we hosted an impressive eight monthly meetings, two free happy hours, and a summer conference reception in addition to our recurring annual </w:t>
      </w:r>
      <w:r w:rsidR="001B0690" w:rsidRPr="00E56F63">
        <w:rPr>
          <w:rFonts w:ascii="Arial" w:hAnsi="Arial" w:cs="Arial"/>
        </w:rPr>
        <w:t>events: the s</w:t>
      </w:r>
      <w:r w:rsidRPr="00E56F63">
        <w:rPr>
          <w:rFonts w:ascii="Arial" w:hAnsi="Arial" w:cs="Arial"/>
        </w:rPr>
        <w:t xml:space="preserve">ummer workshop, </w:t>
      </w:r>
      <w:r w:rsidR="001B0690" w:rsidRPr="00E56F63">
        <w:rPr>
          <w:rFonts w:ascii="Arial" w:hAnsi="Arial" w:cs="Arial"/>
        </w:rPr>
        <w:t xml:space="preserve">the </w:t>
      </w:r>
      <w:r w:rsidR="00BA7B95" w:rsidRPr="00E56F63">
        <w:rPr>
          <w:rFonts w:ascii="Arial" w:hAnsi="Arial" w:cs="Arial"/>
        </w:rPr>
        <w:t>g</w:t>
      </w:r>
      <w:r w:rsidRPr="00E56F63">
        <w:rPr>
          <w:rFonts w:ascii="Arial" w:hAnsi="Arial" w:cs="Arial"/>
        </w:rPr>
        <w:t xml:space="preserve">raduate </w:t>
      </w:r>
      <w:r w:rsidR="001B0690" w:rsidRPr="00E56F63">
        <w:rPr>
          <w:rFonts w:ascii="Arial" w:hAnsi="Arial" w:cs="Arial"/>
        </w:rPr>
        <w:t>s</w:t>
      </w:r>
      <w:r w:rsidRPr="00E56F63">
        <w:rPr>
          <w:rFonts w:ascii="Arial" w:hAnsi="Arial" w:cs="Arial"/>
        </w:rPr>
        <w:t xml:space="preserve">tudent </w:t>
      </w:r>
      <w:r w:rsidR="001B0690" w:rsidRPr="00E56F63">
        <w:rPr>
          <w:rFonts w:ascii="Arial" w:hAnsi="Arial" w:cs="Arial"/>
        </w:rPr>
        <w:t>c</w:t>
      </w:r>
      <w:r w:rsidRPr="00E56F63">
        <w:rPr>
          <w:rFonts w:ascii="Arial" w:hAnsi="Arial" w:cs="Arial"/>
        </w:rPr>
        <w:t xml:space="preserve">onsulting </w:t>
      </w:r>
      <w:r w:rsidR="001B0690" w:rsidRPr="00E56F63">
        <w:rPr>
          <w:rFonts w:ascii="Arial" w:hAnsi="Arial" w:cs="Arial"/>
        </w:rPr>
        <w:t>c</w:t>
      </w:r>
      <w:r w:rsidRPr="00E56F63">
        <w:rPr>
          <w:rFonts w:ascii="Arial" w:hAnsi="Arial" w:cs="Arial"/>
        </w:rPr>
        <w:t xml:space="preserve">hallenge, and </w:t>
      </w:r>
      <w:r w:rsidR="001B0690" w:rsidRPr="00E56F63">
        <w:rPr>
          <w:rFonts w:ascii="Arial" w:hAnsi="Arial" w:cs="Arial"/>
        </w:rPr>
        <w:t>the fall ev</w:t>
      </w:r>
      <w:r w:rsidRPr="00E56F63">
        <w:rPr>
          <w:rFonts w:ascii="Arial" w:hAnsi="Arial" w:cs="Arial"/>
        </w:rPr>
        <w:t xml:space="preserve">ent. </w:t>
      </w:r>
    </w:p>
    <w:p w14:paraId="49E677C0" w14:textId="77777777" w:rsidR="00BB4D9E" w:rsidRPr="00E56F63" w:rsidRDefault="00BB4D9E" w:rsidP="00732D26">
      <w:pPr>
        <w:rPr>
          <w:rFonts w:ascii="Arial" w:hAnsi="Arial" w:cs="Arial"/>
          <w:b/>
          <w:u w:val="single"/>
        </w:rPr>
      </w:pPr>
    </w:p>
    <w:p w14:paraId="5AC19145" w14:textId="368DBBDA" w:rsidR="0095677B" w:rsidRPr="00E56F63" w:rsidRDefault="002C0005" w:rsidP="00732D26">
      <w:pPr>
        <w:rPr>
          <w:rFonts w:ascii="Arial" w:hAnsi="Arial" w:cs="Arial"/>
        </w:rPr>
      </w:pPr>
      <w:r w:rsidRPr="00E56F63">
        <w:rPr>
          <w:rFonts w:ascii="Arial" w:hAnsi="Arial" w:cs="Arial"/>
          <w:b/>
          <w:u w:val="single"/>
        </w:rPr>
        <w:t>Monthly Meetings and Workshops</w:t>
      </w:r>
      <w:r w:rsidR="00161EB2" w:rsidRPr="00E56F63">
        <w:rPr>
          <w:rFonts w:ascii="Arial" w:hAnsi="Arial" w:cs="Arial"/>
        </w:rPr>
        <w:t xml:space="preserve">: </w:t>
      </w:r>
      <w:r w:rsidR="004C20BB" w:rsidRPr="00E56F63">
        <w:rPr>
          <w:rFonts w:ascii="Arial" w:hAnsi="Arial" w:cs="Arial"/>
        </w:rPr>
        <w:t xml:space="preserve">In 2018, we continued hosting monthly events at McCormick and </w:t>
      </w:r>
      <w:proofErr w:type="spellStart"/>
      <w:r w:rsidR="004C20BB" w:rsidRPr="00E56F63">
        <w:rPr>
          <w:rFonts w:ascii="Arial" w:hAnsi="Arial" w:cs="Arial"/>
        </w:rPr>
        <w:t>Schmick’s</w:t>
      </w:r>
      <w:proofErr w:type="spellEnd"/>
      <w:r w:rsidR="004C20BB" w:rsidRPr="00E56F63">
        <w:rPr>
          <w:rFonts w:ascii="Arial" w:hAnsi="Arial" w:cs="Arial"/>
        </w:rPr>
        <w:t xml:space="preserve"> in Crystal City. </w:t>
      </w:r>
      <w:r w:rsidRPr="00E56F63">
        <w:rPr>
          <w:rFonts w:ascii="Arial" w:hAnsi="Arial" w:cs="Arial"/>
        </w:rPr>
        <w:t>Our expenses for mo</w:t>
      </w:r>
      <w:r w:rsidR="00593DB4">
        <w:rPr>
          <w:rFonts w:ascii="Arial" w:hAnsi="Arial" w:cs="Arial"/>
        </w:rPr>
        <w:t>nthly meetings and workshops were</w:t>
      </w:r>
      <w:r w:rsidRPr="00E56F63">
        <w:rPr>
          <w:rFonts w:ascii="Arial" w:hAnsi="Arial" w:cs="Arial"/>
        </w:rPr>
        <w:t xml:space="preserve"> higher than originally budgeted primarily because we invest</w:t>
      </w:r>
      <w:r w:rsidR="0095677B" w:rsidRPr="00E56F63">
        <w:rPr>
          <w:rFonts w:ascii="Arial" w:hAnsi="Arial" w:cs="Arial"/>
        </w:rPr>
        <w:t>ed</w:t>
      </w:r>
      <w:r w:rsidRPr="00E56F63">
        <w:rPr>
          <w:rFonts w:ascii="Arial" w:hAnsi="Arial" w:cs="Arial"/>
        </w:rPr>
        <w:t xml:space="preserve"> in hosting more networking opportunities f</w:t>
      </w:r>
      <w:r w:rsidR="0095677B" w:rsidRPr="00E56F63">
        <w:rPr>
          <w:rFonts w:ascii="Arial" w:hAnsi="Arial" w:cs="Arial"/>
        </w:rPr>
        <w:t xml:space="preserve">or </w:t>
      </w:r>
      <w:r w:rsidRPr="00E56F63">
        <w:rPr>
          <w:rFonts w:ascii="Arial" w:hAnsi="Arial" w:cs="Arial"/>
        </w:rPr>
        <w:t xml:space="preserve">members. </w:t>
      </w:r>
      <w:r w:rsidR="0095677B" w:rsidRPr="00E56F63">
        <w:rPr>
          <w:rFonts w:ascii="Arial" w:hAnsi="Arial" w:cs="Arial"/>
        </w:rPr>
        <w:t>Last year</w:t>
      </w:r>
      <w:r w:rsidRPr="00E56F63">
        <w:rPr>
          <w:rFonts w:ascii="Arial" w:hAnsi="Arial" w:cs="Arial"/>
        </w:rPr>
        <w:t>, we held free networking events in April and December, both of which were very well attended (average of 84 attendees)</w:t>
      </w:r>
      <w:r w:rsidR="001B0690" w:rsidRPr="00E56F63">
        <w:rPr>
          <w:rFonts w:ascii="Arial" w:hAnsi="Arial" w:cs="Arial"/>
        </w:rPr>
        <w:t>,</w:t>
      </w:r>
      <w:r w:rsidRPr="00E56F63">
        <w:rPr>
          <w:rFonts w:ascii="Arial" w:hAnsi="Arial" w:cs="Arial"/>
        </w:rPr>
        <w:t xml:space="preserve"> and a</w:t>
      </w:r>
      <w:r w:rsidR="00BA7B95" w:rsidRPr="00E56F63">
        <w:rPr>
          <w:rFonts w:ascii="Arial" w:hAnsi="Arial" w:cs="Arial"/>
        </w:rPr>
        <w:t xml:space="preserve"> PTCMW-IPAC r</w:t>
      </w:r>
      <w:r w:rsidRPr="00E56F63">
        <w:rPr>
          <w:rFonts w:ascii="Arial" w:hAnsi="Arial" w:cs="Arial"/>
        </w:rPr>
        <w:t xml:space="preserve">eception in July during IPAC’s annual conference in Alexandria. </w:t>
      </w:r>
      <w:r w:rsidR="0095677B" w:rsidRPr="00E56F63">
        <w:rPr>
          <w:rFonts w:ascii="Arial" w:hAnsi="Arial" w:cs="Arial"/>
        </w:rPr>
        <w:t xml:space="preserve">We also began including </w:t>
      </w:r>
      <w:r w:rsidR="001B0690" w:rsidRPr="00E56F63">
        <w:rPr>
          <w:rFonts w:ascii="Arial" w:hAnsi="Arial" w:cs="Arial"/>
        </w:rPr>
        <w:t>free refreshments (beer and wine)</w:t>
      </w:r>
      <w:r w:rsidR="0095677B" w:rsidRPr="00E56F63">
        <w:rPr>
          <w:rFonts w:ascii="Arial" w:hAnsi="Arial" w:cs="Arial"/>
        </w:rPr>
        <w:t xml:space="preserve"> at our monthly events, which represents a</w:t>
      </w:r>
      <w:r w:rsidR="001B0690" w:rsidRPr="00E56F63">
        <w:rPr>
          <w:rFonts w:ascii="Arial" w:hAnsi="Arial" w:cs="Arial"/>
        </w:rPr>
        <w:t xml:space="preserve"> smaller</w:t>
      </w:r>
      <w:r w:rsidR="0095677B" w:rsidRPr="00E56F63">
        <w:rPr>
          <w:rFonts w:ascii="Arial" w:hAnsi="Arial" w:cs="Arial"/>
        </w:rPr>
        <w:t xml:space="preserve"> but popular investment for improving the event experience.</w:t>
      </w:r>
      <w:r w:rsidR="001B0690" w:rsidRPr="00E56F63">
        <w:rPr>
          <w:rFonts w:ascii="Arial" w:hAnsi="Arial" w:cs="Arial"/>
        </w:rPr>
        <w:t xml:space="preserve"> At the year’s end, w</w:t>
      </w:r>
      <w:r w:rsidR="0095677B" w:rsidRPr="00E56F63">
        <w:rPr>
          <w:rFonts w:ascii="Arial" w:hAnsi="Arial" w:cs="Arial"/>
        </w:rPr>
        <w:t xml:space="preserve">e observed a large increase in monthly meeting income </w:t>
      </w:r>
      <w:r w:rsidR="001B0690" w:rsidRPr="00E56F63">
        <w:rPr>
          <w:rFonts w:ascii="Arial" w:hAnsi="Arial" w:cs="Arial"/>
        </w:rPr>
        <w:t>over budget, likely due to our investment in our monthly meetings and networking events.</w:t>
      </w:r>
    </w:p>
    <w:p w14:paraId="4EEEE147" w14:textId="77777777" w:rsidR="0095677B" w:rsidRPr="00E56F63" w:rsidRDefault="0095677B" w:rsidP="00732D26">
      <w:pPr>
        <w:rPr>
          <w:rFonts w:ascii="Arial" w:hAnsi="Arial" w:cs="Arial"/>
        </w:rPr>
      </w:pPr>
    </w:p>
    <w:p w14:paraId="3D455023" w14:textId="725D3AA5" w:rsidR="0095677B" w:rsidRPr="00E56F63" w:rsidRDefault="0095677B" w:rsidP="00732D26">
      <w:pPr>
        <w:rPr>
          <w:rFonts w:ascii="Arial" w:hAnsi="Arial" w:cs="Arial"/>
        </w:rPr>
      </w:pPr>
      <w:r w:rsidRPr="00E56F63">
        <w:rPr>
          <w:rFonts w:ascii="Arial" w:hAnsi="Arial" w:cs="Arial"/>
          <w:b/>
          <w:u w:val="single"/>
        </w:rPr>
        <w:t>Graduate Student Consulting Challenge</w:t>
      </w:r>
      <w:r w:rsidRPr="00E56F63">
        <w:rPr>
          <w:rFonts w:ascii="Arial" w:hAnsi="Arial" w:cs="Arial"/>
        </w:rPr>
        <w:t xml:space="preserve">: </w:t>
      </w:r>
      <w:r w:rsidR="00626990" w:rsidRPr="00E56F63">
        <w:rPr>
          <w:rFonts w:ascii="Arial" w:hAnsi="Arial" w:cs="Arial"/>
        </w:rPr>
        <w:t xml:space="preserve">We had 23 students participate in our </w:t>
      </w:r>
      <w:r w:rsidR="006456BD" w:rsidRPr="00E56F63">
        <w:rPr>
          <w:rFonts w:ascii="Arial" w:hAnsi="Arial" w:cs="Arial"/>
        </w:rPr>
        <w:t>4</w:t>
      </w:r>
      <w:r w:rsidR="006456BD" w:rsidRPr="00E56F63">
        <w:rPr>
          <w:rFonts w:ascii="Arial" w:hAnsi="Arial" w:cs="Arial"/>
          <w:vertAlign w:val="superscript"/>
        </w:rPr>
        <w:t>th</w:t>
      </w:r>
      <w:r w:rsidR="006456BD" w:rsidRPr="00E56F63">
        <w:rPr>
          <w:rFonts w:ascii="Arial" w:hAnsi="Arial" w:cs="Arial"/>
        </w:rPr>
        <w:t xml:space="preserve"> annual </w:t>
      </w:r>
      <w:r w:rsidR="00626990" w:rsidRPr="00E56F63">
        <w:rPr>
          <w:rFonts w:ascii="Arial" w:hAnsi="Arial" w:cs="Arial"/>
        </w:rPr>
        <w:t>consulting challenge</w:t>
      </w:r>
      <w:r w:rsidR="006456BD" w:rsidRPr="00E56F63">
        <w:rPr>
          <w:rFonts w:ascii="Arial" w:hAnsi="Arial" w:cs="Arial"/>
        </w:rPr>
        <w:t>, which was sponsored by Aon. The consulting challenge event provides stude</w:t>
      </w:r>
      <w:r w:rsidR="001B0690" w:rsidRPr="00E56F63">
        <w:rPr>
          <w:rFonts w:ascii="Arial" w:hAnsi="Arial" w:cs="Arial"/>
        </w:rPr>
        <w:t>nts with a realistic job preview;</w:t>
      </w:r>
      <w:r w:rsidR="006456BD" w:rsidRPr="00E56F63">
        <w:rPr>
          <w:rFonts w:ascii="Arial" w:hAnsi="Arial" w:cs="Arial"/>
        </w:rPr>
        <w:t xml:space="preserve"> a</w:t>
      </w:r>
      <w:r w:rsidR="001B0690" w:rsidRPr="00E56F63">
        <w:rPr>
          <w:rFonts w:ascii="Arial" w:hAnsi="Arial" w:cs="Arial"/>
        </w:rPr>
        <w:t>n expanded professional network;</w:t>
      </w:r>
      <w:r w:rsidR="006456BD" w:rsidRPr="00E56F63">
        <w:rPr>
          <w:rFonts w:ascii="Arial" w:hAnsi="Arial" w:cs="Arial"/>
        </w:rPr>
        <w:t xml:space="preserve"> and an opportunity to enhance their communication, presentation, and consulting skills. </w:t>
      </w:r>
      <w:r w:rsidR="001B0690" w:rsidRPr="00E56F63">
        <w:rPr>
          <w:rFonts w:ascii="Arial" w:hAnsi="Arial" w:cs="Arial"/>
        </w:rPr>
        <w:t>The students were split into 5 groups</w:t>
      </w:r>
      <w:r w:rsidR="006456BD" w:rsidRPr="00E56F63">
        <w:rPr>
          <w:rFonts w:ascii="Arial" w:hAnsi="Arial" w:cs="Arial"/>
        </w:rPr>
        <w:t xml:space="preserve"> to develop a proposal and presentation. As in previous years, we offered an award of $2,000 to be split among members in the first and second place teams (in addition to free student membership). PTCMW’s costs included </w:t>
      </w:r>
      <w:r w:rsidR="00864800" w:rsidRPr="00E56F63">
        <w:rPr>
          <w:rFonts w:ascii="Arial" w:hAnsi="Arial" w:cs="Arial"/>
        </w:rPr>
        <w:t xml:space="preserve">part of </w:t>
      </w:r>
      <w:r w:rsidR="006456BD" w:rsidRPr="00E56F63">
        <w:rPr>
          <w:rFonts w:ascii="Arial" w:hAnsi="Arial" w:cs="Arial"/>
        </w:rPr>
        <w:t>the student prize and consulting challenge happy hour.</w:t>
      </w:r>
    </w:p>
    <w:p w14:paraId="27202569" w14:textId="77777777" w:rsidR="006456BD" w:rsidRPr="00E56F63" w:rsidRDefault="006456BD" w:rsidP="00732D26">
      <w:pPr>
        <w:rPr>
          <w:rFonts w:ascii="Arial" w:hAnsi="Arial" w:cs="Arial"/>
          <w:b/>
        </w:rPr>
      </w:pPr>
    </w:p>
    <w:p w14:paraId="1747E6B1" w14:textId="05A0B2F0" w:rsidR="00174B2E" w:rsidRPr="00E56F63" w:rsidRDefault="006456BD" w:rsidP="00732D26">
      <w:pPr>
        <w:rPr>
          <w:rFonts w:ascii="Arial" w:hAnsi="Arial" w:cs="Arial"/>
        </w:rPr>
      </w:pPr>
      <w:r w:rsidRPr="00E56F63">
        <w:rPr>
          <w:rFonts w:ascii="Arial" w:hAnsi="Arial" w:cs="Arial"/>
          <w:b/>
          <w:u w:val="single"/>
        </w:rPr>
        <w:t>Fall Event</w:t>
      </w:r>
      <w:r w:rsidRPr="00E56F63">
        <w:rPr>
          <w:rFonts w:ascii="Arial" w:hAnsi="Arial" w:cs="Arial"/>
          <w:b/>
        </w:rPr>
        <w:t xml:space="preserve">: </w:t>
      </w:r>
      <w:r w:rsidRPr="00E56F63">
        <w:rPr>
          <w:rFonts w:ascii="Arial" w:hAnsi="Arial" w:cs="Arial"/>
        </w:rPr>
        <w:t xml:space="preserve">We had another very </w:t>
      </w:r>
      <w:r w:rsidR="00780369" w:rsidRPr="00E56F63">
        <w:rPr>
          <w:rFonts w:ascii="Arial" w:hAnsi="Arial" w:cs="Arial"/>
        </w:rPr>
        <w:t>successful</w:t>
      </w:r>
      <w:r w:rsidR="00BA7B95" w:rsidRPr="00E56F63">
        <w:rPr>
          <w:rFonts w:ascii="Arial" w:hAnsi="Arial" w:cs="Arial"/>
        </w:rPr>
        <w:t xml:space="preserve"> fall e</w:t>
      </w:r>
      <w:r w:rsidR="00780369" w:rsidRPr="00E56F63">
        <w:rPr>
          <w:rFonts w:ascii="Arial" w:hAnsi="Arial" w:cs="Arial"/>
        </w:rPr>
        <w:t xml:space="preserve">vent at the George Washington University </w:t>
      </w:r>
      <w:r w:rsidR="00BA7B95" w:rsidRPr="00E56F63">
        <w:rPr>
          <w:rFonts w:ascii="Arial" w:hAnsi="Arial" w:cs="Arial"/>
        </w:rPr>
        <w:t xml:space="preserve">(GWU) </w:t>
      </w:r>
      <w:r w:rsidR="00780369" w:rsidRPr="00E56F63">
        <w:rPr>
          <w:rFonts w:ascii="Arial" w:hAnsi="Arial" w:cs="Arial"/>
        </w:rPr>
        <w:t>last year, with a record number of sponsoring organizations, almost 200 attending members, an impressive panel of speakers, and many exciting raffle prizes</w:t>
      </w:r>
      <w:r w:rsidR="00BA7B95" w:rsidRPr="00E56F63">
        <w:rPr>
          <w:rFonts w:ascii="Arial" w:hAnsi="Arial" w:cs="Arial"/>
        </w:rPr>
        <w:t>. The fall e</w:t>
      </w:r>
      <w:r w:rsidR="00780369" w:rsidRPr="00E56F63">
        <w:rPr>
          <w:rFonts w:ascii="Arial" w:hAnsi="Arial" w:cs="Arial"/>
        </w:rPr>
        <w:t xml:space="preserve">vent is our premier networking and professional development event, offering attendees the opportunity to convene with fellow I-O professionals and gain insights into the latest relevant research, innovations, and employment opportunities. From a budget perspective, our expenses were slightly higher than expected, mostly because we </w:t>
      </w:r>
      <w:r w:rsidR="00174B2E" w:rsidRPr="00E56F63">
        <w:rPr>
          <w:rFonts w:ascii="Arial" w:hAnsi="Arial" w:cs="Arial"/>
        </w:rPr>
        <w:t xml:space="preserve">worked with a </w:t>
      </w:r>
      <w:r w:rsidR="00780369" w:rsidRPr="00E56F63">
        <w:rPr>
          <w:rFonts w:ascii="Arial" w:hAnsi="Arial" w:cs="Arial"/>
        </w:rPr>
        <w:t>new cate</w:t>
      </w:r>
      <w:r w:rsidR="00174B2E" w:rsidRPr="00E56F63">
        <w:rPr>
          <w:rFonts w:ascii="Arial" w:hAnsi="Arial" w:cs="Arial"/>
        </w:rPr>
        <w:t>ring vendor</w:t>
      </w:r>
      <w:r w:rsidR="00BA7B95" w:rsidRPr="00E56F63">
        <w:rPr>
          <w:rFonts w:ascii="Arial" w:hAnsi="Arial" w:cs="Arial"/>
        </w:rPr>
        <w:t xml:space="preserve"> in response</w:t>
      </w:r>
      <w:r w:rsidR="00174B2E" w:rsidRPr="00E56F63">
        <w:rPr>
          <w:rFonts w:ascii="Arial" w:hAnsi="Arial" w:cs="Arial"/>
        </w:rPr>
        <w:t xml:space="preserve"> to changes in venue offerings. Our fall event income was also slightly higher than budgeted, thanks to many members taking advantage of our membership and attendance bundle</w:t>
      </w:r>
      <w:r w:rsidR="00BA7B95" w:rsidRPr="00E56F63">
        <w:rPr>
          <w:rFonts w:ascii="Arial" w:hAnsi="Arial" w:cs="Arial"/>
        </w:rPr>
        <w:t>,</w:t>
      </w:r>
      <w:r w:rsidR="00174B2E" w:rsidRPr="00E56F63">
        <w:rPr>
          <w:rFonts w:ascii="Arial" w:hAnsi="Arial" w:cs="Arial"/>
        </w:rPr>
        <w:t xml:space="preserve"> and </w:t>
      </w:r>
      <w:r w:rsidR="00BA7B95" w:rsidRPr="00E56F63">
        <w:rPr>
          <w:rFonts w:ascii="Arial" w:hAnsi="Arial" w:cs="Arial"/>
        </w:rPr>
        <w:t xml:space="preserve">an </w:t>
      </w:r>
      <w:r w:rsidR="00174B2E" w:rsidRPr="00E56F63">
        <w:rPr>
          <w:rFonts w:ascii="Arial" w:hAnsi="Arial" w:cs="Arial"/>
        </w:rPr>
        <w:t xml:space="preserve">increase in </w:t>
      </w:r>
      <w:r w:rsidR="009676FA" w:rsidRPr="00E56F63">
        <w:rPr>
          <w:rFonts w:ascii="Arial" w:hAnsi="Arial" w:cs="Arial"/>
        </w:rPr>
        <w:t xml:space="preserve">the number of </w:t>
      </w:r>
      <w:r w:rsidR="00174B2E" w:rsidRPr="00E56F63">
        <w:rPr>
          <w:rFonts w:ascii="Arial" w:hAnsi="Arial" w:cs="Arial"/>
        </w:rPr>
        <w:t xml:space="preserve">sponsoring organizations. </w:t>
      </w:r>
    </w:p>
    <w:p w14:paraId="3C69DAF5" w14:textId="77777777" w:rsidR="00174B2E" w:rsidRPr="00E56F63" w:rsidRDefault="00174B2E" w:rsidP="00732D26">
      <w:pPr>
        <w:rPr>
          <w:rFonts w:ascii="Arial" w:hAnsi="Arial" w:cs="Arial"/>
        </w:rPr>
      </w:pPr>
    </w:p>
    <w:p w14:paraId="4401CDDC" w14:textId="7B8FCDC9" w:rsidR="00B33708" w:rsidRPr="00E56F63" w:rsidRDefault="00174B2E" w:rsidP="00732D26">
      <w:pPr>
        <w:rPr>
          <w:rFonts w:ascii="Arial" w:hAnsi="Arial" w:cs="Arial"/>
        </w:rPr>
      </w:pPr>
      <w:r w:rsidRPr="00E56F63">
        <w:rPr>
          <w:rFonts w:ascii="Arial" w:hAnsi="Arial" w:cs="Arial"/>
          <w:b/>
          <w:u w:val="single"/>
        </w:rPr>
        <w:lastRenderedPageBreak/>
        <w:t>Summary</w:t>
      </w:r>
      <w:r w:rsidRPr="00E56F63">
        <w:rPr>
          <w:rFonts w:ascii="Arial" w:hAnsi="Arial" w:cs="Arial"/>
          <w:b/>
        </w:rPr>
        <w:t xml:space="preserve">: </w:t>
      </w:r>
      <w:r w:rsidRPr="00E56F63">
        <w:rPr>
          <w:rFonts w:ascii="Arial" w:hAnsi="Arial" w:cs="Arial"/>
        </w:rPr>
        <w:t>We improved our offerings across the board in 2018 by investing more into each of our events. We held more monthly events, more</w:t>
      </w:r>
      <w:r w:rsidR="00BB4D9E" w:rsidRPr="00E56F63">
        <w:rPr>
          <w:rFonts w:ascii="Arial" w:hAnsi="Arial" w:cs="Arial"/>
        </w:rPr>
        <w:t xml:space="preserve"> networking events, and </w:t>
      </w:r>
      <w:r w:rsidR="001657DD" w:rsidRPr="00E56F63">
        <w:rPr>
          <w:rFonts w:ascii="Arial" w:hAnsi="Arial" w:cs="Arial"/>
        </w:rPr>
        <w:t>held a bigger c</w:t>
      </w:r>
      <w:r w:rsidRPr="00E56F63">
        <w:rPr>
          <w:rFonts w:ascii="Arial" w:hAnsi="Arial" w:cs="Arial"/>
        </w:rPr>
        <w:t xml:space="preserve">onsulting </w:t>
      </w:r>
      <w:r w:rsidR="001657DD" w:rsidRPr="00E56F63">
        <w:rPr>
          <w:rFonts w:ascii="Arial" w:hAnsi="Arial" w:cs="Arial"/>
        </w:rPr>
        <w:t>challenge and f</w:t>
      </w:r>
      <w:r w:rsidRPr="00E56F63">
        <w:rPr>
          <w:rFonts w:ascii="Arial" w:hAnsi="Arial" w:cs="Arial"/>
        </w:rPr>
        <w:t xml:space="preserve">all </w:t>
      </w:r>
      <w:r w:rsidR="001657DD" w:rsidRPr="00E56F63">
        <w:rPr>
          <w:rFonts w:ascii="Arial" w:hAnsi="Arial" w:cs="Arial"/>
        </w:rPr>
        <w:t>event</w:t>
      </w:r>
      <w:r w:rsidRPr="00E56F63">
        <w:rPr>
          <w:rFonts w:ascii="Arial" w:hAnsi="Arial" w:cs="Arial"/>
        </w:rPr>
        <w:t xml:space="preserve">. </w:t>
      </w:r>
      <w:r w:rsidR="00D03736" w:rsidRPr="00E56F63">
        <w:rPr>
          <w:rFonts w:ascii="Arial" w:hAnsi="Arial" w:cs="Arial"/>
        </w:rPr>
        <w:t>Probably d</w:t>
      </w:r>
      <w:r w:rsidRPr="00E56F63">
        <w:rPr>
          <w:rFonts w:ascii="Arial" w:hAnsi="Arial" w:cs="Arial"/>
        </w:rPr>
        <w:t xml:space="preserve">ue to </w:t>
      </w:r>
      <w:r w:rsidR="00D03736" w:rsidRPr="00E56F63">
        <w:rPr>
          <w:rFonts w:ascii="Arial" w:hAnsi="Arial" w:cs="Arial"/>
        </w:rPr>
        <w:t xml:space="preserve">early returns from </w:t>
      </w:r>
      <w:r w:rsidRPr="00E56F63">
        <w:rPr>
          <w:rFonts w:ascii="Arial" w:hAnsi="Arial" w:cs="Arial"/>
        </w:rPr>
        <w:t xml:space="preserve">these planned investments, </w:t>
      </w:r>
      <w:r w:rsidR="001657DD" w:rsidRPr="00E56F63">
        <w:rPr>
          <w:rFonts w:ascii="Arial" w:hAnsi="Arial" w:cs="Arial"/>
        </w:rPr>
        <w:t>our actual budget deficit ended up being almost 30% lower</w:t>
      </w:r>
      <w:r w:rsidRPr="00E56F63">
        <w:rPr>
          <w:rFonts w:ascii="Arial" w:hAnsi="Arial" w:cs="Arial"/>
        </w:rPr>
        <w:t xml:space="preserve"> than expected. </w:t>
      </w:r>
      <w:r w:rsidR="00BB4D9E" w:rsidRPr="00E56F63">
        <w:rPr>
          <w:rFonts w:ascii="Arial" w:hAnsi="Arial" w:cs="Arial"/>
        </w:rPr>
        <w:t xml:space="preserve">In total, we improved value for our members at a better than anticipated cost last year. </w:t>
      </w:r>
    </w:p>
    <w:p w14:paraId="01B74794" w14:textId="77777777" w:rsidR="00EE297F" w:rsidRPr="00E56F63" w:rsidRDefault="00EE297F" w:rsidP="00732D26">
      <w:pPr>
        <w:rPr>
          <w:rFonts w:ascii="Arial" w:hAnsi="Arial" w:cs="Arial"/>
        </w:rPr>
      </w:pPr>
    </w:p>
    <w:p w14:paraId="14433722" w14:textId="4EB760B4" w:rsidR="00CA33D0" w:rsidRPr="00E56F63" w:rsidRDefault="00AD673A" w:rsidP="00732D26">
      <w:pPr>
        <w:jc w:val="center"/>
        <w:rPr>
          <w:rFonts w:ascii="Arial" w:hAnsi="Arial" w:cs="Arial"/>
          <w:b/>
          <w:sz w:val="28"/>
        </w:rPr>
      </w:pPr>
      <w:r w:rsidRPr="00E56F63">
        <w:rPr>
          <w:rFonts w:ascii="Arial" w:hAnsi="Arial" w:cs="Arial"/>
          <w:b/>
          <w:sz w:val="28"/>
        </w:rPr>
        <w:t>2019 Budget</w:t>
      </w:r>
      <w:r w:rsidR="00732D26" w:rsidRPr="00E56F63">
        <w:rPr>
          <w:rFonts w:ascii="Arial" w:hAnsi="Arial" w:cs="Arial"/>
          <w:b/>
          <w:sz w:val="28"/>
        </w:rPr>
        <w:t xml:space="preserve"> Explained</w:t>
      </w:r>
    </w:p>
    <w:p w14:paraId="00BF6B40" w14:textId="4A8227A1" w:rsidR="00B70F42" w:rsidRPr="00E56F63" w:rsidRDefault="00B70F42" w:rsidP="00732D26">
      <w:pPr>
        <w:rPr>
          <w:rFonts w:ascii="Arial" w:hAnsi="Arial" w:cs="Arial"/>
          <w:b/>
        </w:rPr>
      </w:pPr>
    </w:p>
    <w:p w14:paraId="4B3993B6" w14:textId="048C9320" w:rsidR="00C27C57" w:rsidRPr="00E56F63" w:rsidRDefault="00C27C57" w:rsidP="00732D26">
      <w:pPr>
        <w:rPr>
          <w:rFonts w:ascii="Arial" w:hAnsi="Arial" w:cs="Arial"/>
        </w:rPr>
      </w:pPr>
      <w:r w:rsidRPr="00E56F63">
        <w:rPr>
          <w:rFonts w:ascii="Arial" w:hAnsi="Arial" w:cs="Arial"/>
        </w:rPr>
        <w:t xml:space="preserve">Below is the PTCMW budget for 2019. After evaluating </w:t>
      </w:r>
      <w:r w:rsidR="00DA7F69" w:rsidRPr="00E56F63">
        <w:rPr>
          <w:rFonts w:ascii="Arial" w:hAnsi="Arial" w:cs="Arial"/>
        </w:rPr>
        <w:t>annual budgets from</w:t>
      </w:r>
      <w:r w:rsidRPr="00E56F63">
        <w:rPr>
          <w:rFonts w:ascii="Arial" w:hAnsi="Arial" w:cs="Arial"/>
        </w:rPr>
        <w:t xml:space="preserve"> the past few years</w:t>
      </w:r>
      <w:r w:rsidR="001C005F" w:rsidRPr="00E56F63">
        <w:rPr>
          <w:rFonts w:ascii="Arial" w:hAnsi="Arial" w:cs="Arial"/>
        </w:rPr>
        <w:t xml:space="preserve"> and noting </w:t>
      </w:r>
      <w:r w:rsidR="00451738" w:rsidRPr="00E56F63">
        <w:rPr>
          <w:rFonts w:ascii="Arial" w:hAnsi="Arial" w:cs="Arial"/>
        </w:rPr>
        <w:t>the comfortable amount we have i</w:t>
      </w:r>
      <w:r w:rsidR="001C005F" w:rsidRPr="00E56F63">
        <w:rPr>
          <w:rFonts w:ascii="Arial" w:hAnsi="Arial" w:cs="Arial"/>
        </w:rPr>
        <w:t>n assets</w:t>
      </w:r>
      <w:r w:rsidRPr="00E56F63">
        <w:rPr>
          <w:rFonts w:ascii="Arial" w:hAnsi="Arial" w:cs="Arial"/>
        </w:rPr>
        <w:t xml:space="preserve">, the board decided to continue adding value for members by investing in additional networking and professional development opportunities. </w:t>
      </w:r>
    </w:p>
    <w:p w14:paraId="03B46DA9" w14:textId="3BDFAA5C" w:rsidR="00C27C57" w:rsidRPr="00E56F63" w:rsidRDefault="00C27C57" w:rsidP="00732D26">
      <w:pPr>
        <w:rPr>
          <w:rFonts w:ascii="Arial" w:hAnsi="Arial" w:cs="Arial"/>
        </w:rPr>
      </w:pPr>
    </w:p>
    <w:p w14:paraId="0E976D95" w14:textId="6402822B" w:rsidR="00C27C57" w:rsidRPr="00E56F63" w:rsidRDefault="00C27C57" w:rsidP="00732D26">
      <w:pPr>
        <w:rPr>
          <w:rFonts w:ascii="Arial" w:hAnsi="Arial" w:cs="Arial"/>
        </w:rPr>
      </w:pPr>
      <w:r w:rsidRPr="00E56F63">
        <w:rPr>
          <w:rFonts w:ascii="Arial" w:hAnsi="Arial" w:cs="Arial"/>
        </w:rPr>
        <w:t>As a result, we budgeted additional expenses</w:t>
      </w:r>
      <w:r w:rsidR="00DA7F69" w:rsidRPr="00E56F63">
        <w:rPr>
          <w:rFonts w:ascii="Arial" w:hAnsi="Arial" w:cs="Arial"/>
        </w:rPr>
        <w:t>, mostly in Monthly Meetings and Workshops,</w:t>
      </w:r>
      <w:r w:rsidRPr="00E56F63">
        <w:rPr>
          <w:rFonts w:ascii="Arial" w:hAnsi="Arial" w:cs="Arial"/>
        </w:rPr>
        <w:t xml:space="preserve"> planning for </w:t>
      </w:r>
      <w:r w:rsidR="00DA7F69" w:rsidRPr="00E56F63">
        <w:rPr>
          <w:rFonts w:ascii="Arial" w:hAnsi="Arial" w:cs="Arial"/>
        </w:rPr>
        <w:t xml:space="preserve">total </w:t>
      </w:r>
      <w:r w:rsidRPr="00E56F63">
        <w:rPr>
          <w:rFonts w:ascii="Arial" w:hAnsi="Arial" w:cs="Arial"/>
        </w:rPr>
        <w:t>expenditures of around $44k. While we’</w:t>
      </w:r>
      <w:r w:rsidR="00306EB0" w:rsidRPr="00E56F63">
        <w:rPr>
          <w:rFonts w:ascii="Arial" w:hAnsi="Arial" w:cs="Arial"/>
        </w:rPr>
        <w:t>ve seen income</w:t>
      </w:r>
      <w:r w:rsidRPr="00E56F63">
        <w:rPr>
          <w:rFonts w:ascii="Arial" w:hAnsi="Arial" w:cs="Arial"/>
        </w:rPr>
        <w:t xml:space="preserve"> boosts </w:t>
      </w:r>
      <w:r w:rsidR="00306EB0" w:rsidRPr="00E56F63">
        <w:rPr>
          <w:rFonts w:ascii="Arial" w:hAnsi="Arial" w:cs="Arial"/>
        </w:rPr>
        <w:t>resulting from</w:t>
      </w:r>
      <w:r w:rsidRPr="00E56F63">
        <w:rPr>
          <w:rFonts w:ascii="Arial" w:hAnsi="Arial" w:cs="Arial"/>
        </w:rPr>
        <w:t xml:space="preserve"> previous </w:t>
      </w:r>
      <w:r w:rsidR="001C005F" w:rsidRPr="00E56F63">
        <w:rPr>
          <w:rFonts w:ascii="Arial" w:hAnsi="Arial" w:cs="Arial"/>
        </w:rPr>
        <w:t xml:space="preserve">member </w:t>
      </w:r>
      <w:r w:rsidRPr="00E56F63">
        <w:rPr>
          <w:rFonts w:ascii="Arial" w:hAnsi="Arial" w:cs="Arial"/>
        </w:rPr>
        <w:t>investments, we’ve decided to conservatively budget our total income for 2019—at final count, our income will</w:t>
      </w:r>
      <w:r w:rsidR="001C005F" w:rsidRPr="00E56F63">
        <w:rPr>
          <w:rFonts w:ascii="Arial" w:hAnsi="Arial" w:cs="Arial"/>
        </w:rPr>
        <w:t xml:space="preserve"> very</w:t>
      </w:r>
      <w:r w:rsidRPr="00E56F63">
        <w:rPr>
          <w:rFonts w:ascii="Arial" w:hAnsi="Arial" w:cs="Arial"/>
        </w:rPr>
        <w:t xml:space="preserve"> likely be higher than budgeted. Our budgeted net </w:t>
      </w:r>
      <w:r w:rsidR="00497B3F" w:rsidRPr="00E56F63">
        <w:rPr>
          <w:rFonts w:ascii="Arial" w:hAnsi="Arial" w:cs="Arial"/>
        </w:rPr>
        <w:t xml:space="preserve">deficit </w:t>
      </w:r>
      <w:r w:rsidR="001C005F" w:rsidRPr="00E56F63">
        <w:rPr>
          <w:rFonts w:ascii="Arial" w:hAnsi="Arial" w:cs="Arial"/>
        </w:rPr>
        <w:t xml:space="preserve">for </w:t>
      </w:r>
      <w:r w:rsidR="00497B3F" w:rsidRPr="00E56F63">
        <w:rPr>
          <w:rFonts w:ascii="Arial" w:hAnsi="Arial" w:cs="Arial"/>
        </w:rPr>
        <w:t xml:space="preserve">2019 is </w:t>
      </w:r>
      <w:r w:rsidR="001C005F" w:rsidRPr="00E56F63">
        <w:rPr>
          <w:rFonts w:ascii="Arial" w:hAnsi="Arial" w:cs="Arial"/>
        </w:rPr>
        <w:t xml:space="preserve">$9.6k. </w:t>
      </w:r>
      <w:r w:rsidRPr="00E56F63">
        <w:rPr>
          <w:rFonts w:ascii="Arial" w:hAnsi="Arial" w:cs="Arial"/>
        </w:rPr>
        <w:t>Detailed membership investments are outlined below:</w:t>
      </w:r>
    </w:p>
    <w:p w14:paraId="71A6CE64" w14:textId="77777777" w:rsidR="00626763" w:rsidRPr="00E56F63" w:rsidRDefault="00626763" w:rsidP="00732D26">
      <w:pPr>
        <w:rPr>
          <w:rFonts w:ascii="Arial" w:hAnsi="Arial" w:cs="Arial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6110"/>
        <w:gridCol w:w="1350"/>
        <w:gridCol w:w="1440"/>
      </w:tblGrid>
      <w:tr w:rsidR="00451738" w:rsidRPr="00E56F63" w14:paraId="1A826D1A" w14:textId="77777777" w:rsidTr="00451738">
        <w:trPr>
          <w:trHeight w:val="345"/>
        </w:trPr>
        <w:tc>
          <w:tcPr>
            <w:tcW w:w="6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00B050"/>
            <w:noWrap/>
            <w:vAlign w:val="center"/>
            <w:hideMark/>
          </w:tcPr>
          <w:p w14:paraId="2748D7A1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INCOME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00B050"/>
            <w:vAlign w:val="center"/>
            <w:hideMark/>
          </w:tcPr>
          <w:p w14:paraId="779F4216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2018 Actual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14:paraId="33B74FF0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2019 Budget</w:t>
            </w:r>
          </w:p>
        </w:tc>
      </w:tr>
      <w:tr w:rsidR="00451738" w:rsidRPr="00E56F63" w14:paraId="3AAB5A1D" w14:textId="77777777" w:rsidTr="00451738">
        <w:trPr>
          <w:trHeight w:val="255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8A039CB" w14:textId="77777777" w:rsidR="00451738" w:rsidRPr="00E56F63" w:rsidRDefault="00451738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1.1 and 1.2 Monthly Meetings and Workshops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66C69B2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$6,120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81F7A81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$6,760 </w:t>
            </w:r>
          </w:p>
        </w:tc>
      </w:tr>
      <w:tr w:rsidR="00451738" w:rsidRPr="00E56F63" w14:paraId="2945B2D4" w14:textId="77777777" w:rsidTr="00451738">
        <w:trPr>
          <w:trHeight w:val="255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AACEDAA" w14:textId="77777777" w:rsidR="00451738" w:rsidRPr="00E56F63" w:rsidRDefault="00451738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1.3 Student Consulting Challenge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9EA06B1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$1,845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20F8A9F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$1,830 </w:t>
            </w:r>
          </w:p>
        </w:tc>
      </w:tr>
      <w:tr w:rsidR="00451738" w:rsidRPr="00E56F63" w14:paraId="673E10C0" w14:textId="77777777" w:rsidTr="00451738">
        <w:trPr>
          <w:trHeight w:val="255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1EA4A47" w14:textId="77777777" w:rsidR="00451738" w:rsidRPr="00E56F63" w:rsidRDefault="00451738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1.4 Fall Event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3A2C40C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$20,435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647B029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$20,285 </w:t>
            </w:r>
          </w:p>
        </w:tc>
      </w:tr>
      <w:tr w:rsidR="00451738" w:rsidRPr="00E56F63" w14:paraId="522C7051" w14:textId="77777777" w:rsidTr="00451738">
        <w:trPr>
          <w:trHeight w:val="255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3157941" w14:textId="77777777" w:rsidR="00451738" w:rsidRPr="00E56F63" w:rsidRDefault="00451738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1.5 Membership Dues (not including those from the fall event)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B300154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$5,460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BAFCBDB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$5,550 </w:t>
            </w:r>
          </w:p>
        </w:tc>
      </w:tr>
      <w:tr w:rsidR="00451738" w:rsidRPr="00E56F63" w14:paraId="2AC1B1C8" w14:textId="77777777" w:rsidTr="00451738">
        <w:trPr>
          <w:trHeight w:val="270"/>
        </w:trPr>
        <w:tc>
          <w:tcPr>
            <w:tcW w:w="6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DDDB2AA" w14:textId="77777777" w:rsidR="00451738" w:rsidRPr="00E56F63" w:rsidRDefault="00451738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1.6 Miscellaneous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F569363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7614C87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$25 </w:t>
            </w:r>
          </w:p>
        </w:tc>
      </w:tr>
      <w:tr w:rsidR="00451738" w:rsidRPr="00E56F63" w14:paraId="30F9D11C" w14:textId="77777777" w:rsidTr="00451738">
        <w:trPr>
          <w:trHeight w:val="270"/>
        </w:trPr>
        <w:tc>
          <w:tcPr>
            <w:tcW w:w="6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00B050"/>
            <w:noWrap/>
            <w:vAlign w:val="center"/>
            <w:hideMark/>
          </w:tcPr>
          <w:p w14:paraId="63CE1E38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INCOME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000000"/>
            <w:noWrap/>
            <w:vAlign w:val="center"/>
            <w:hideMark/>
          </w:tcPr>
          <w:p w14:paraId="08000273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$33,885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000000"/>
            <w:noWrap/>
            <w:vAlign w:val="center"/>
            <w:hideMark/>
          </w:tcPr>
          <w:p w14:paraId="036ABDA3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$34,450 </w:t>
            </w:r>
          </w:p>
        </w:tc>
      </w:tr>
      <w:tr w:rsidR="00451738" w:rsidRPr="00E56F63" w14:paraId="2B93899B" w14:textId="77777777" w:rsidTr="00497B3F">
        <w:trPr>
          <w:trHeight w:val="115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7F02B" w14:textId="77777777" w:rsidR="00451738" w:rsidRPr="00E56F63" w:rsidRDefault="00451738" w:rsidP="00732D2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67822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B78BB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51738" w:rsidRPr="00E56F63" w14:paraId="7E7D731D" w14:textId="77777777" w:rsidTr="00D0339E">
        <w:trPr>
          <w:trHeight w:val="295"/>
        </w:trPr>
        <w:tc>
          <w:tcPr>
            <w:tcW w:w="6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0000"/>
            <w:noWrap/>
            <w:vAlign w:val="center"/>
            <w:hideMark/>
          </w:tcPr>
          <w:p w14:paraId="5612D9D2" w14:textId="77777777" w:rsidR="00451738" w:rsidRPr="00E56F63" w:rsidRDefault="00451738" w:rsidP="00D0339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EXPENDITURES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0000"/>
            <w:vAlign w:val="center"/>
            <w:hideMark/>
          </w:tcPr>
          <w:p w14:paraId="76C5D2B9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2018 Actual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14:paraId="1E31FB2B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2019 Budget</w:t>
            </w:r>
          </w:p>
        </w:tc>
      </w:tr>
      <w:tr w:rsidR="00451738" w:rsidRPr="00E56F63" w14:paraId="18835F6B" w14:textId="77777777" w:rsidTr="00451738">
        <w:trPr>
          <w:trHeight w:val="255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FF" w:fill="F2DCDB"/>
            <w:noWrap/>
            <w:vAlign w:val="center"/>
            <w:hideMark/>
          </w:tcPr>
          <w:p w14:paraId="2DB61F37" w14:textId="77777777" w:rsidR="00451738" w:rsidRPr="00E56F63" w:rsidRDefault="00451738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2.1 and 2.2 Monthly Meetings and Workshops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A581C0A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$10,751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13850DF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$16,825 </w:t>
            </w:r>
          </w:p>
        </w:tc>
      </w:tr>
      <w:tr w:rsidR="00451738" w:rsidRPr="00E56F63" w14:paraId="6B32ECEE" w14:textId="77777777" w:rsidTr="00451738">
        <w:trPr>
          <w:trHeight w:val="27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FF" w:fill="F2DCDB"/>
            <w:noWrap/>
            <w:vAlign w:val="center"/>
            <w:hideMark/>
          </w:tcPr>
          <w:p w14:paraId="02F04EA3" w14:textId="77777777" w:rsidR="00451738" w:rsidRPr="00E56F63" w:rsidRDefault="00451738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2.3 Student Consulting Challenge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3BE6073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$2,893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98700B5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$2,900 </w:t>
            </w:r>
          </w:p>
        </w:tc>
      </w:tr>
      <w:tr w:rsidR="00451738" w:rsidRPr="00E56F63" w14:paraId="7FF2CBCF" w14:textId="77777777" w:rsidTr="00451738">
        <w:trPr>
          <w:trHeight w:val="255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FF" w:fill="F2DCDB"/>
            <w:noWrap/>
            <w:vAlign w:val="center"/>
            <w:hideMark/>
          </w:tcPr>
          <w:p w14:paraId="1BB843C0" w14:textId="77777777" w:rsidR="00451738" w:rsidRPr="00E56F63" w:rsidRDefault="00451738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2.4 Fall Event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C14C92B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$18,972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4767852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$18,414 </w:t>
            </w:r>
          </w:p>
        </w:tc>
      </w:tr>
      <w:tr w:rsidR="00451738" w:rsidRPr="00E56F63" w14:paraId="1B81806C" w14:textId="77777777" w:rsidTr="00451738">
        <w:trPr>
          <w:trHeight w:val="255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FF" w:fill="F2DCDB"/>
            <w:noWrap/>
            <w:vAlign w:val="center"/>
            <w:hideMark/>
          </w:tcPr>
          <w:p w14:paraId="2081C54E" w14:textId="77777777" w:rsidR="00451738" w:rsidRPr="00E56F63" w:rsidRDefault="00451738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2.5 Website and Software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0E0A34D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$1,987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4E5B5F0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$2,224 </w:t>
            </w:r>
          </w:p>
        </w:tc>
      </w:tr>
      <w:tr w:rsidR="00451738" w:rsidRPr="00E56F63" w14:paraId="0D72BE58" w14:textId="77777777" w:rsidTr="00451738">
        <w:trPr>
          <w:trHeight w:val="255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FF" w:fill="F2DCDB"/>
            <w:noWrap/>
            <w:vAlign w:val="center"/>
            <w:hideMark/>
          </w:tcPr>
          <w:p w14:paraId="5228669B" w14:textId="77777777" w:rsidR="00451738" w:rsidRPr="00E56F63" w:rsidRDefault="00451738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2.6 Finance Charges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281EE16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$939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D97A3C7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$949 </w:t>
            </w:r>
          </w:p>
        </w:tc>
      </w:tr>
      <w:tr w:rsidR="00451738" w:rsidRPr="00E56F63" w14:paraId="567EE06B" w14:textId="77777777" w:rsidTr="00451738">
        <w:trPr>
          <w:trHeight w:val="255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FF" w:fill="F2DCDB"/>
            <w:noWrap/>
            <w:vAlign w:val="center"/>
            <w:hideMark/>
          </w:tcPr>
          <w:p w14:paraId="05FD0087" w14:textId="77777777" w:rsidR="00451738" w:rsidRPr="00E56F63" w:rsidRDefault="00451738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2.7 PTCMW Professional Organization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48667B4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$1,201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3455947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$1,350 </w:t>
            </w:r>
          </w:p>
        </w:tc>
      </w:tr>
      <w:tr w:rsidR="00451738" w:rsidRPr="00E56F63" w14:paraId="691003C4" w14:textId="77777777" w:rsidTr="00451738">
        <w:trPr>
          <w:trHeight w:val="255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FF" w:fill="F2DCDB"/>
            <w:noWrap/>
            <w:vAlign w:val="center"/>
            <w:hideMark/>
          </w:tcPr>
          <w:p w14:paraId="5C744ABA" w14:textId="77777777" w:rsidR="00451738" w:rsidRPr="00E56F63" w:rsidRDefault="00451738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2.8 Membership Benefits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D958E13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D783ED9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$500 </w:t>
            </w:r>
          </w:p>
        </w:tc>
      </w:tr>
      <w:tr w:rsidR="00451738" w:rsidRPr="00E56F63" w14:paraId="43AF6E69" w14:textId="77777777" w:rsidTr="00451738">
        <w:trPr>
          <w:trHeight w:val="270"/>
        </w:trPr>
        <w:tc>
          <w:tcPr>
            <w:tcW w:w="6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CCCFF" w:fill="F2DCDB"/>
            <w:noWrap/>
            <w:vAlign w:val="center"/>
            <w:hideMark/>
          </w:tcPr>
          <w:p w14:paraId="266D567D" w14:textId="77777777" w:rsidR="00451738" w:rsidRPr="00E56F63" w:rsidRDefault="00451738" w:rsidP="00732D2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2.9 Miscellaneous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09D171C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$487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58C5541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$900 </w:t>
            </w:r>
          </w:p>
        </w:tc>
      </w:tr>
      <w:tr w:rsidR="00451738" w:rsidRPr="00E56F63" w14:paraId="509A62AC" w14:textId="77777777" w:rsidTr="00451738">
        <w:trPr>
          <w:trHeight w:val="270"/>
        </w:trPr>
        <w:tc>
          <w:tcPr>
            <w:tcW w:w="6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0000"/>
            <w:noWrap/>
            <w:vAlign w:val="center"/>
            <w:hideMark/>
          </w:tcPr>
          <w:p w14:paraId="3C2B9D25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EXPENDITURES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C5F3AB2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$37,230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C5B961B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$44,062 </w:t>
            </w:r>
          </w:p>
        </w:tc>
      </w:tr>
      <w:tr w:rsidR="00451738" w:rsidRPr="00E56F63" w14:paraId="111AB7E7" w14:textId="77777777" w:rsidTr="00451738">
        <w:trPr>
          <w:trHeight w:val="27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8DB4E2"/>
            <w:noWrap/>
            <w:vAlign w:val="center"/>
            <w:hideMark/>
          </w:tcPr>
          <w:p w14:paraId="4DC84AA8" w14:textId="2C0425AE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Net Income or Deficit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45FCCB35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($3,346)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0E0C836D" w14:textId="77777777" w:rsidR="00451738" w:rsidRPr="00E56F63" w:rsidRDefault="00451738" w:rsidP="00732D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56F6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($9,612)</w:t>
            </w:r>
          </w:p>
        </w:tc>
      </w:tr>
    </w:tbl>
    <w:p w14:paraId="77C34F1C" w14:textId="1DD5CD3E" w:rsidR="001C005F" w:rsidRPr="00E56F63" w:rsidRDefault="001C005F" w:rsidP="00732D26">
      <w:pPr>
        <w:rPr>
          <w:rFonts w:ascii="Arial" w:hAnsi="Arial" w:cs="Arial"/>
          <w:b/>
        </w:rPr>
      </w:pPr>
    </w:p>
    <w:p w14:paraId="4935A4ED" w14:textId="6AB8A493" w:rsidR="001C005F" w:rsidRPr="00E56F63" w:rsidRDefault="001C005F" w:rsidP="00732D26">
      <w:pPr>
        <w:rPr>
          <w:rFonts w:ascii="Arial" w:hAnsi="Arial" w:cs="Arial"/>
        </w:rPr>
      </w:pPr>
      <w:r w:rsidRPr="00E56F63">
        <w:rPr>
          <w:rFonts w:ascii="Arial" w:hAnsi="Arial" w:cs="Arial"/>
          <w:b/>
          <w:u w:val="single"/>
        </w:rPr>
        <w:t>SIOP Newcomer</w:t>
      </w:r>
      <w:r w:rsidR="00497B3F" w:rsidRPr="00E56F63">
        <w:rPr>
          <w:rFonts w:ascii="Arial" w:hAnsi="Arial" w:cs="Arial"/>
          <w:b/>
          <w:u w:val="single"/>
        </w:rPr>
        <w:t xml:space="preserve"> Reception </w:t>
      </w:r>
      <w:r w:rsidRPr="00E56F63">
        <w:rPr>
          <w:rFonts w:ascii="Arial" w:hAnsi="Arial" w:cs="Arial"/>
          <w:b/>
          <w:u w:val="single"/>
        </w:rPr>
        <w:t>&amp; Joint PTCMW-IPAC SIOP Receptions</w:t>
      </w:r>
      <w:r w:rsidRPr="00E56F63">
        <w:rPr>
          <w:rFonts w:ascii="Arial" w:hAnsi="Arial" w:cs="Arial"/>
          <w:b/>
        </w:rPr>
        <w:t xml:space="preserve">: </w:t>
      </w:r>
      <w:r w:rsidRPr="00E56F63">
        <w:rPr>
          <w:rFonts w:ascii="Arial" w:hAnsi="Arial" w:cs="Arial"/>
        </w:rPr>
        <w:t>SIOP’s 34</w:t>
      </w:r>
      <w:r w:rsidRPr="00E56F63">
        <w:rPr>
          <w:rFonts w:ascii="Arial" w:hAnsi="Arial" w:cs="Arial"/>
          <w:vertAlign w:val="superscript"/>
        </w:rPr>
        <w:t>th</w:t>
      </w:r>
      <w:r w:rsidRPr="00E56F63">
        <w:rPr>
          <w:rFonts w:ascii="Arial" w:hAnsi="Arial" w:cs="Arial"/>
        </w:rPr>
        <w:t xml:space="preserve"> Annual Conference was held in our backyard at the National Harbor. We sponsored this year’s Newcomer Reception and partnered with IPAC to put together a </w:t>
      </w:r>
      <w:r w:rsidR="008E1ECC" w:rsidRPr="00E56F63">
        <w:rPr>
          <w:rFonts w:ascii="Arial" w:hAnsi="Arial" w:cs="Arial"/>
        </w:rPr>
        <w:t xml:space="preserve">networking reception at the conference. These events </w:t>
      </w:r>
      <w:r w:rsidR="00497B3F" w:rsidRPr="00E56F63">
        <w:rPr>
          <w:rFonts w:ascii="Arial" w:hAnsi="Arial" w:cs="Arial"/>
        </w:rPr>
        <w:t>were</w:t>
      </w:r>
      <w:r w:rsidR="008E1ECC" w:rsidRPr="00E56F63">
        <w:rPr>
          <w:rFonts w:ascii="Arial" w:hAnsi="Arial" w:cs="Arial"/>
        </w:rPr>
        <w:t xml:space="preserve"> held in addition to our monthly meetings, workshops, and networking events. Ideally, our investment in these events </w:t>
      </w:r>
      <w:r w:rsidR="00497B3F" w:rsidRPr="00E56F63">
        <w:rPr>
          <w:rFonts w:ascii="Arial" w:hAnsi="Arial" w:cs="Arial"/>
        </w:rPr>
        <w:t>increase</w:t>
      </w:r>
      <w:r w:rsidR="009676FA" w:rsidRPr="00E56F63">
        <w:rPr>
          <w:rFonts w:ascii="Arial" w:hAnsi="Arial" w:cs="Arial"/>
        </w:rPr>
        <w:t>d</w:t>
      </w:r>
      <w:r w:rsidR="008E1ECC" w:rsidRPr="00E56F63">
        <w:rPr>
          <w:rFonts w:ascii="Arial" w:hAnsi="Arial" w:cs="Arial"/>
        </w:rPr>
        <w:t xml:space="preserve"> PTCMW</w:t>
      </w:r>
      <w:r w:rsidR="00497B3F" w:rsidRPr="00E56F63">
        <w:rPr>
          <w:rFonts w:ascii="Arial" w:hAnsi="Arial" w:cs="Arial"/>
        </w:rPr>
        <w:t>’s</w:t>
      </w:r>
      <w:r w:rsidR="008E1ECC" w:rsidRPr="00E56F63">
        <w:rPr>
          <w:rFonts w:ascii="Arial" w:hAnsi="Arial" w:cs="Arial"/>
        </w:rPr>
        <w:t xml:space="preserve"> visibility and boost</w:t>
      </w:r>
      <w:r w:rsidR="00497B3F" w:rsidRPr="00E56F63">
        <w:rPr>
          <w:rFonts w:ascii="Arial" w:hAnsi="Arial" w:cs="Arial"/>
        </w:rPr>
        <w:t>s</w:t>
      </w:r>
      <w:r w:rsidR="008E1ECC" w:rsidRPr="00E56F63">
        <w:rPr>
          <w:rFonts w:ascii="Arial" w:hAnsi="Arial" w:cs="Arial"/>
        </w:rPr>
        <w:t xml:space="preserve"> membership. </w:t>
      </w:r>
    </w:p>
    <w:p w14:paraId="1D57781E" w14:textId="12E30D92" w:rsidR="001C005F" w:rsidRPr="00E56F63" w:rsidRDefault="001C005F" w:rsidP="00732D26">
      <w:pPr>
        <w:rPr>
          <w:rFonts w:ascii="Arial" w:hAnsi="Arial" w:cs="Arial"/>
          <w:b/>
        </w:rPr>
      </w:pPr>
    </w:p>
    <w:p w14:paraId="560BDC8F" w14:textId="5C15A554" w:rsidR="00B70F42" w:rsidRPr="00E56F63" w:rsidRDefault="001C005F" w:rsidP="00732D26">
      <w:pPr>
        <w:rPr>
          <w:rFonts w:ascii="Arial" w:hAnsi="Arial" w:cs="Arial"/>
        </w:rPr>
      </w:pPr>
      <w:r w:rsidRPr="00E56F63">
        <w:rPr>
          <w:rFonts w:ascii="Arial" w:hAnsi="Arial" w:cs="Arial"/>
          <w:b/>
          <w:u w:val="single"/>
        </w:rPr>
        <w:t>Networking Happy Hours</w:t>
      </w:r>
      <w:r w:rsidRPr="00E56F63">
        <w:rPr>
          <w:rFonts w:ascii="Arial" w:hAnsi="Arial" w:cs="Arial"/>
          <w:b/>
        </w:rPr>
        <w:t xml:space="preserve">: </w:t>
      </w:r>
      <w:r w:rsidRPr="00E56F63">
        <w:rPr>
          <w:rFonts w:ascii="Arial" w:hAnsi="Arial" w:cs="Arial"/>
        </w:rPr>
        <w:t xml:space="preserve">In 2018, we hosted two free </w:t>
      </w:r>
      <w:r w:rsidR="00497B3F" w:rsidRPr="00E56F63">
        <w:rPr>
          <w:rFonts w:ascii="Arial" w:hAnsi="Arial" w:cs="Arial"/>
        </w:rPr>
        <w:t>n</w:t>
      </w:r>
      <w:r w:rsidRPr="00E56F63">
        <w:rPr>
          <w:rFonts w:ascii="Arial" w:hAnsi="Arial" w:cs="Arial"/>
        </w:rPr>
        <w:t xml:space="preserve">etworking </w:t>
      </w:r>
      <w:r w:rsidR="00497B3F" w:rsidRPr="00E56F63">
        <w:rPr>
          <w:rFonts w:ascii="Arial" w:hAnsi="Arial" w:cs="Arial"/>
        </w:rPr>
        <w:t>h</w:t>
      </w:r>
      <w:r w:rsidRPr="00E56F63">
        <w:rPr>
          <w:rFonts w:ascii="Arial" w:hAnsi="Arial" w:cs="Arial"/>
        </w:rPr>
        <w:t xml:space="preserve">appy </w:t>
      </w:r>
      <w:r w:rsidR="00497B3F" w:rsidRPr="00E56F63">
        <w:rPr>
          <w:rFonts w:ascii="Arial" w:hAnsi="Arial" w:cs="Arial"/>
        </w:rPr>
        <w:t>h</w:t>
      </w:r>
      <w:r w:rsidRPr="00E56F63">
        <w:rPr>
          <w:rFonts w:ascii="Arial" w:hAnsi="Arial" w:cs="Arial"/>
        </w:rPr>
        <w:t xml:space="preserve">ours, </w:t>
      </w:r>
      <w:r w:rsidR="008E1ECC" w:rsidRPr="00E56F63">
        <w:rPr>
          <w:rFonts w:ascii="Arial" w:hAnsi="Arial" w:cs="Arial"/>
        </w:rPr>
        <w:t>which proved highly popular</w:t>
      </w:r>
      <w:r w:rsidRPr="00E56F63">
        <w:rPr>
          <w:rFonts w:ascii="Arial" w:hAnsi="Arial" w:cs="Arial"/>
        </w:rPr>
        <w:t xml:space="preserve"> events. </w:t>
      </w:r>
      <w:r w:rsidR="008E1ECC" w:rsidRPr="00E56F63">
        <w:rPr>
          <w:rFonts w:ascii="Arial" w:hAnsi="Arial" w:cs="Arial"/>
        </w:rPr>
        <w:t xml:space="preserve">We’ve budgeted for continuing to host two free </w:t>
      </w:r>
      <w:r w:rsidR="00497B3F" w:rsidRPr="00E56F63">
        <w:rPr>
          <w:rFonts w:ascii="Arial" w:hAnsi="Arial" w:cs="Arial"/>
        </w:rPr>
        <w:t>networking h</w:t>
      </w:r>
      <w:r w:rsidR="008E1ECC" w:rsidRPr="00E56F63">
        <w:rPr>
          <w:rFonts w:ascii="Arial" w:hAnsi="Arial" w:cs="Arial"/>
        </w:rPr>
        <w:t xml:space="preserve">appy </w:t>
      </w:r>
      <w:r w:rsidR="00497B3F" w:rsidRPr="00E56F63">
        <w:rPr>
          <w:rFonts w:ascii="Arial" w:hAnsi="Arial" w:cs="Arial"/>
        </w:rPr>
        <w:t>h</w:t>
      </w:r>
      <w:r w:rsidR="008E1ECC" w:rsidRPr="00E56F63">
        <w:rPr>
          <w:rFonts w:ascii="Arial" w:hAnsi="Arial" w:cs="Arial"/>
        </w:rPr>
        <w:t xml:space="preserve">ours </w:t>
      </w:r>
      <w:r w:rsidR="008E1ECC" w:rsidRPr="00E56F63">
        <w:rPr>
          <w:rFonts w:ascii="Arial" w:hAnsi="Arial" w:cs="Arial"/>
        </w:rPr>
        <w:lastRenderedPageBreak/>
        <w:t xml:space="preserve">this year, in addition to two potential social events around the summer time. Our actual expenditures in this area will likely be much lower than budgeted. </w:t>
      </w:r>
    </w:p>
    <w:p w14:paraId="124E9293" w14:textId="6B59DD74" w:rsidR="008E1ECC" w:rsidRPr="00E56F63" w:rsidRDefault="008E1ECC" w:rsidP="00732D26">
      <w:pPr>
        <w:rPr>
          <w:rFonts w:ascii="Arial" w:hAnsi="Arial" w:cs="Arial"/>
        </w:rPr>
      </w:pPr>
    </w:p>
    <w:p w14:paraId="719192FD" w14:textId="5DE8920D" w:rsidR="008E1ECC" w:rsidRPr="00E56F63" w:rsidRDefault="00EE297F" w:rsidP="00732D26">
      <w:pPr>
        <w:rPr>
          <w:rFonts w:ascii="Arial" w:hAnsi="Arial" w:cs="Arial"/>
        </w:rPr>
      </w:pPr>
      <w:r w:rsidRPr="00E56F63">
        <w:rPr>
          <w:rFonts w:ascii="Arial" w:hAnsi="Arial" w:cs="Arial"/>
          <w:b/>
          <w:u w:val="single"/>
        </w:rPr>
        <w:t>Monthly Meeting Gifts and Sponsorship</w:t>
      </w:r>
      <w:r w:rsidR="008E1ECC" w:rsidRPr="00E56F63">
        <w:rPr>
          <w:rFonts w:ascii="Arial" w:hAnsi="Arial" w:cs="Arial"/>
          <w:b/>
        </w:rPr>
        <w:t xml:space="preserve">: </w:t>
      </w:r>
      <w:r w:rsidRPr="00E56F63">
        <w:rPr>
          <w:rFonts w:ascii="Arial" w:hAnsi="Arial" w:cs="Arial"/>
        </w:rPr>
        <w:t xml:space="preserve">We plan to continue offering many high-quality events for members. </w:t>
      </w:r>
      <w:r w:rsidR="00497B3F" w:rsidRPr="00E56F63">
        <w:rPr>
          <w:rFonts w:ascii="Arial" w:hAnsi="Arial" w:cs="Arial"/>
        </w:rPr>
        <w:t xml:space="preserve">This year, the board </w:t>
      </w:r>
      <w:r w:rsidRPr="00E56F63">
        <w:rPr>
          <w:rFonts w:ascii="Arial" w:hAnsi="Arial" w:cs="Arial"/>
        </w:rPr>
        <w:t xml:space="preserve">voted to </w:t>
      </w:r>
      <w:r w:rsidR="00497B3F" w:rsidRPr="00E56F63">
        <w:rPr>
          <w:rFonts w:ascii="Arial" w:hAnsi="Arial" w:cs="Arial"/>
        </w:rPr>
        <w:t>restart</w:t>
      </w:r>
      <w:r w:rsidRPr="00E56F63">
        <w:rPr>
          <w:rFonts w:ascii="Arial" w:hAnsi="Arial" w:cs="Arial"/>
        </w:rPr>
        <w:t xml:space="preserve"> the tradition of presenting PTCMW pens to monthly meeting speakers, as well as allowing organizations to sponsor monthly meetings. Organizations that sponsor a PTCMW monthly meeting will receive the following benefits:</w:t>
      </w:r>
    </w:p>
    <w:p w14:paraId="0861EB2A" w14:textId="77777777" w:rsidR="00EE297F" w:rsidRPr="00E56F63" w:rsidRDefault="00EE297F" w:rsidP="00732D26">
      <w:pPr>
        <w:rPr>
          <w:rFonts w:ascii="Arial" w:hAnsi="Arial" w:cs="Arial"/>
        </w:rPr>
      </w:pPr>
    </w:p>
    <w:p w14:paraId="158AEF0D" w14:textId="77777777" w:rsidR="00EE297F" w:rsidRPr="00E56F63" w:rsidRDefault="00EE297F" w:rsidP="00732D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6F63">
        <w:rPr>
          <w:rFonts w:ascii="Arial" w:hAnsi="Arial" w:cs="Arial"/>
        </w:rPr>
        <w:t>Free registration for the sponsored monthly event for 2 members of your organization</w:t>
      </w:r>
    </w:p>
    <w:p w14:paraId="0E01790D" w14:textId="77777777" w:rsidR="00EE297F" w:rsidRPr="00E56F63" w:rsidRDefault="00EE297F" w:rsidP="00732D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6F63">
        <w:rPr>
          <w:rFonts w:ascii="Arial" w:hAnsi="Arial" w:cs="Arial"/>
        </w:rPr>
        <w:t>Your organization’s name/or logo displayed on the presentational materials</w:t>
      </w:r>
    </w:p>
    <w:p w14:paraId="698DAB75" w14:textId="77777777" w:rsidR="00EE297F" w:rsidRPr="00E56F63" w:rsidRDefault="00EE297F" w:rsidP="00732D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6F63">
        <w:rPr>
          <w:rFonts w:ascii="Arial" w:hAnsi="Arial" w:cs="Arial"/>
        </w:rPr>
        <w:t>Time to introduce the featured speakers and spend a few minutes talking about your organization at the beginning of the event; this includes one slide at the beginning of the presentation</w:t>
      </w:r>
    </w:p>
    <w:p w14:paraId="7AF78922" w14:textId="67A61758" w:rsidR="00EE297F" w:rsidRPr="00E56F63" w:rsidRDefault="00EE297F" w:rsidP="00732D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6F63">
        <w:rPr>
          <w:rFonts w:ascii="Arial" w:hAnsi="Arial" w:cs="Arial"/>
        </w:rPr>
        <w:t>Your sponsorship, introduction, and presentation slide will be retained with the webcast recording available online to members</w:t>
      </w:r>
    </w:p>
    <w:p w14:paraId="69DA894C" w14:textId="77777777" w:rsidR="00D0339E" w:rsidRPr="00E56F63" w:rsidRDefault="00D0339E" w:rsidP="00D0339E">
      <w:pPr>
        <w:pStyle w:val="ListParagraph"/>
        <w:rPr>
          <w:rFonts w:ascii="Arial" w:hAnsi="Arial" w:cs="Arial"/>
        </w:rPr>
      </w:pPr>
    </w:p>
    <w:p w14:paraId="2EC138A1" w14:textId="063B4809" w:rsidR="00EE297F" w:rsidRPr="00E56F63" w:rsidRDefault="00EE297F" w:rsidP="00732D26">
      <w:pPr>
        <w:rPr>
          <w:rFonts w:ascii="Arial" w:hAnsi="Arial" w:cs="Arial"/>
        </w:rPr>
      </w:pPr>
      <w:r w:rsidRPr="00E56F63">
        <w:rPr>
          <w:rFonts w:ascii="Arial" w:hAnsi="Arial" w:cs="Arial"/>
        </w:rPr>
        <w:t>Sponsorship money will be used to help cover the cost of event facilities, refreshments, presentation technology, speaker recogni</w:t>
      </w:r>
      <w:r w:rsidR="00497B3F" w:rsidRPr="00E56F63">
        <w:rPr>
          <w:rFonts w:ascii="Arial" w:hAnsi="Arial" w:cs="Arial"/>
        </w:rPr>
        <w:t>tion, a</w:t>
      </w:r>
      <w:r w:rsidR="009676FA" w:rsidRPr="00E56F63">
        <w:rPr>
          <w:rFonts w:ascii="Arial" w:hAnsi="Arial" w:cs="Arial"/>
        </w:rPr>
        <w:t>nd speaker travel costs. We’ve budgeted monthly event sponsorships conservatively, so a</w:t>
      </w:r>
      <w:r w:rsidR="00497B3F" w:rsidRPr="00E56F63">
        <w:rPr>
          <w:rFonts w:ascii="Arial" w:hAnsi="Arial" w:cs="Arial"/>
        </w:rPr>
        <w:t xml:space="preserve">ctual </w:t>
      </w:r>
      <w:r w:rsidR="009676FA" w:rsidRPr="00E56F63">
        <w:rPr>
          <w:rFonts w:ascii="Arial" w:hAnsi="Arial" w:cs="Arial"/>
        </w:rPr>
        <w:t>income</w:t>
      </w:r>
      <w:r w:rsidR="00497B3F" w:rsidRPr="00E56F63">
        <w:rPr>
          <w:rFonts w:ascii="Arial" w:hAnsi="Arial" w:cs="Arial"/>
        </w:rPr>
        <w:t xml:space="preserve"> </w:t>
      </w:r>
      <w:r w:rsidR="009676FA" w:rsidRPr="00E56F63">
        <w:rPr>
          <w:rFonts w:ascii="Arial" w:hAnsi="Arial" w:cs="Arial"/>
        </w:rPr>
        <w:t>in this area will likely be much</w:t>
      </w:r>
      <w:r w:rsidR="00497B3F" w:rsidRPr="00E56F63">
        <w:rPr>
          <w:rFonts w:ascii="Arial" w:hAnsi="Arial" w:cs="Arial"/>
        </w:rPr>
        <w:t xml:space="preserve"> </w:t>
      </w:r>
      <w:r w:rsidR="009676FA" w:rsidRPr="00E56F63">
        <w:rPr>
          <w:rFonts w:ascii="Arial" w:hAnsi="Arial" w:cs="Arial"/>
        </w:rPr>
        <w:t>greater than budgeted.</w:t>
      </w:r>
      <w:r w:rsidR="00497B3F" w:rsidRPr="00E56F63">
        <w:rPr>
          <w:rFonts w:ascii="Arial" w:hAnsi="Arial" w:cs="Arial"/>
        </w:rPr>
        <w:t xml:space="preserve"> </w:t>
      </w:r>
    </w:p>
    <w:p w14:paraId="5B809C38" w14:textId="6FF5FAF7" w:rsidR="002A0E0D" w:rsidRPr="00E56F63" w:rsidRDefault="002A0E0D" w:rsidP="00732D26">
      <w:pPr>
        <w:rPr>
          <w:rFonts w:ascii="Arial" w:hAnsi="Arial" w:cs="Arial"/>
        </w:rPr>
      </w:pPr>
    </w:p>
    <w:p w14:paraId="7B50BCF8" w14:textId="64E84559" w:rsidR="00732D26" w:rsidRPr="00E56F63" w:rsidRDefault="002A0E0D" w:rsidP="00732D26">
      <w:pPr>
        <w:rPr>
          <w:rFonts w:ascii="Arial" w:hAnsi="Arial" w:cs="Arial"/>
        </w:rPr>
      </w:pPr>
      <w:r w:rsidRPr="00E56F63">
        <w:rPr>
          <w:rFonts w:ascii="Arial" w:hAnsi="Arial" w:cs="Arial"/>
          <w:b/>
          <w:u w:val="single"/>
        </w:rPr>
        <w:t>Summary</w:t>
      </w:r>
      <w:r w:rsidRPr="00E56F63">
        <w:rPr>
          <w:rFonts w:ascii="Arial" w:hAnsi="Arial" w:cs="Arial"/>
        </w:rPr>
        <w:t>: We’ve got another year of exciting and beneficial events planned for our members</w:t>
      </w:r>
      <w:r w:rsidR="00732D26" w:rsidRPr="00E56F63">
        <w:rPr>
          <w:rFonts w:ascii="Arial" w:hAnsi="Arial" w:cs="Arial"/>
        </w:rPr>
        <w:t xml:space="preserve">. We’ve got a fantastic schedule of events planned and </w:t>
      </w:r>
      <w:r w:rsidRPr="00E56F63">
        <w:rPr>
          <w:rFonts w:ascii="Arial" w:hAnsi="Arial" w:cs="Arial"/>
        </w:rPr>
        <w:t>we’re</w:t>
      </w:r>
      <w:r w:rsidR="00497B3F" w:rsidRPr="00E56F63">
        <w:rPr>
          <w:rFonts w:ascii="Arial" w:hAnsi="Arial" w:cs="Arial"/>
        </w:rPr>
        <w:t xml:space="preserve"> continuing the effort of investing to improve</w:t>
      </w:r>
      <w:r w:rsidRPr="00E56F63">
        <w:rPr>
          <w:rFonts w:ascii="Arial" w:hAnsi="Arial" w:cs="Arial"/>
        </w:rPr>
        <w:t xml:space="preserve"> membership value that we began a couple of years ago. </w:t>
      </w:r>
      <w:r w:rsidR="00732D26" w:rsidRPr="00E56F63">
        <w:rPr>
          <w:rFonts w:ascii="Arial" w:hAnsi="Arial" w:cs="Arial"/>
        </w:rPr>
        <w:t>We’ve over-estimated our potential costs and likely under-estimated our potential income because we’re investing in many differe</w:t>
      </w:r>
      <w:r w:rsidR="00497B3F" w:rsidRPr="00E56F63">
        <w:rPr>
          <w:rFonts w:ascii="Arial" w:hAnsi="Arial" w:cs="Arial"/>
        </w:rPr>
        <w:t xml:space="preserve">nt areas </w:t>
      </w:r>
      <w:r w:rsidR="00732D26" w:rsidRPr="00E56F63">
        <w:rPr>
          <w:rFonts w:ascii="Arial" w:hAnsi="Arial" w:cs="Arial"/>
        </w:rPr>
        <w:t xml:space="preserve">with </w:t>
      </w:r>
      <w:r w:rsidR="00E56F63" w:rsidRPr="00E56F63">
        <w:rPr>
          <w:rFonts w:ascii="Arial" w:hAnsi="Arial" w:cs="Arial"/>
        </w:rPr>
        <w:t>some</w:t>
      </w:r>
      <w:r w:rsidR="00732D26" w:rsidRPr="00E56F63">
        <w:rPr>
          <w:rFonts w:ascii="Arial" w:hAnsi="Arial" w:cs="Arial"/>
        </w:rPr>
        <w:t xml:space="preserve"> unknowns. Overall, we’re committed to managing PTCMW’s resources as efficiently as possible and are expecting the final deficit to be much lower in actuality </w:t>
      </w:r>
      <w:r w:rsidR="00497B3F" w:rsidRPr="00E56F63">
        <w:rPr>
          <w:rFonts w:ascii="Arial" w:hAnsi="Arial" w:cs="Arial"/>
        </w:rPr>
        <w:t>than budgeted</w:t>
      </w:r>
      <w:r w:rsidR="00E56F63" w:rsidRPr="00E56F63">
        <w:rPr>
          <w:rFonts w:ascii="Arial" w:hAnsi="Arial" w:cs="Arial"/>
        </w:rPr>
        <w:t xml:space="preserve"> above</w:t>
      </w:r>
      <w:r w:rsidR="00497B3F" w:rsidRPr="00E56F63">
        <w:rPr>
          <w:rFonts w:ascii="Arial" w:hAnsi="Arial" w:cs="Arial"/>
        </w:rPr>
        <w:t>.</w:t>
      </w:r>
    </w:p>
    <w:p w14:paraId="4F8136D8" w14:textId="2402EEEA" w:rsidR="00626763" w:rsidRPr="00E56F63" w:rsidRDefault="00626763" w:rsidP="00732D26">
      <w:pPr>
        <w:rPr>
          <w:rFonts w:ascii="Arial" w:hAnsi="Arial" w:cs="Arial"/>
        </w:rPr>
      </w:pPr>
    </w:p>
    <w:p w14:paraId="454AABC7" w14:textId="3625E313" w:rsidR="002A0E0D" w:rsidRPr="00E56F63" w:rsidRDefault="00EE297F" w:rsidP="00732D26">
      <w:pPr>
        <w:jc w:val="center"/>
        <w:rPr>
          <w:rFonts w:ascii="Arial" w:hAnsi="Arial" w:cs="Arial"/>
          <w:b/>
          <w:sz w:val="28"/>
        </w:rPr>
      </w:pPr>
      <w:r w:rsidRPr="00E56F63">
        <w:rPr>
          <w:rFonts w:ascii="Arial" w:hAnsi="Arial" w:cs="Arial"/>
          <w:b/>
          <w:sz w:val="28"/>
        </w:rPr>
        <w:t xml:space="preserve">Comments or </w:t>
      </w:r>
      <w:r w:rsidR="00626763" w:rsidRPr="00E56F63">
        <w:rPr>
          <w:rFonts w:ascii="Arial" w:hAnsi="Arial" w:cs="Arial"/>
          <w:b/>
          <w:sz w:val="28"/>
        </w:rPr>
        <w:t>Questions?</w:t>
      </w:r>
    </w:p>
    <w:p w14:paraId="66852B2A" w14:textId="77777777" w:rsidR="00732D26" w:rsidRPr="00E56F63" w:rsidRDefault="00732D26" w:rsidP="00732D26">
      <w:pPr>
        <w:jc w:val="center"/>
        <w:rPr>
          <w:rFonts w:ascii="Arial" w:hAnsi="Arial" w:cs="Arial"/>
          <w:b/>
        </w:rPr>
      </w:pPr>
    </w:p>
    <w:p w14:paraId="6ECE086E" w14:textId="1DA8D636" w:rsidR="002A0E0D" w:rsidRPr="00E56F63" w:rsidRDefault="00732D26" w:rsidP="00732D26">
      <w:pPr>
        <w:shd w:val="clear" w:color="auto" w:fill="FFFFFF"/>
        <w:rPr>
          <w:rFonts w:ascii="Arial" w:eastAsia="Times New Roman" w:hAnsi="Arial" w:cs="Arial"/>
          <w:color w:val="373737"/>
          <w:sz w:val="23"/>
          <w:szCs w:val="23"/>
        </w:rPr>
      </w:pPr>
      <w:r w:rsidRPr="00E56F63">
        <w:rPr>
          <w:rFonts w:ascii="Arial" w:eastAsia="Times New Roman" w:hAnsi="Arial" w:cs="Arial"/>
          <w:sz w:val="23"/>
          <w:szCs w:val="23"/>
        </w:rPr>
        <w:t>Please f</w:t>
      </w:r>
      <w:r w:rsidR="002A0E0D" w:rsidRPr="00E56F63">
        <w:rPr>
          <w:rFonts w:ascii="Arial" w:eastAsia="Times New Roman" w:hAnsi="Arial" w:cs="Arial"/>
          <w:sz w:val="23"/>
          <w:szCs w:val="23"/>
        </w:rPr>
        <w:t xml:space="preserve">eel free to email me with any comments or questions about the budget at </w:t>
      </w:r>
      <w:hyperlink r:id="rId8" w:history="1">
        <w:r w:rsidR="002A0E0D" w:rsidRPr="00E56F63">
          <w:rPr>
            <w:rStyle w:val="Hyperlink"/>
            <w:rFonts w:ascii="Arial" w:eastAsia="Times New Roman" w:hAnsi="Arial" w:cs="Arial"/>
            <w:sz w:val="23"/>
            <w:szCs w:val="23"/>
          </w:rPr>
          <w:t>treasurer.ptcmw@gmail.com</w:t>
        </w:r>
      </w:hyperlink>
      <w:r w:rsidRPr="00E56F63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r w:rsidRPr="00E56F63">
        <w:rPr>
          <w:rFonts w:ascii="Arial" w:eastAsia="Times New Roman" w:hAnsi="Arial" w:cs="Arial"/>
          <w:sz w:val="23"/>
          <w:szCs w:val="23"/>
        </w:rPr>
        <w:t>or comment below</w:t>
      </w:r>
      <w:r w:rsidR="002A0E0D" w:rsidRPr="00E56F63">
        <w:rPr>
          <w:rFonts w:ascii="Arial" w:eastAsia="Times New Roman" w:hAnsi="Arial" w:cs="Arial"/>
          <w:sz w:val="23"/>
          <w:szCs w:val="23"/>
        </w:rPr>
        <w:t xml:space="preserve">. If you have suggestions for event improvements, please email our Vice President, Emilee Tison at </w:t>
      </w:r>
      <w:hyperlink r:id="rId9" w:history="1">
        <w:r w:rsidR="002A0E0D" w:rsidRPr="00E56F63">
          <w:rPr>
            <w:rStyle w:val="Hyperlink"/>
            <w:rFonts w:ascii="Arial" w:eastAsia="Times New Roman" w:hAnsi="Arial" w:cs="Arial"/>
            <w:sz w:val="23"/>
            <w:szCs w:val="23"/>
          </w:rPr>
          <w:t>vp.ptcmw@gmail.com</w:t>
        </w:r>
      </w:hyperlink>
      <w:r w:rsidRPr="00E56F63">
        <w:rPr>
          <w:rFonts w:ascii="Arial" w:eastAsia="Times New Roman" w:hAnsi="Arial" w:cs="Arial"/>
          <w:sz w:val="23"/>
          <w:szCs w:val="23"/>
        </w:rPr>
        <w:t>, and if y</w:t>
      </w:r>
      <w:r w:rsidR="002A0E0D" w:rsidRPr="00E56F63">
        <w:rPr>
          <w:rFonts w:ascii="Arial" w:hAnsi="Arial" w:cs="Arial"/>
        </w:rPr>
        <w:t xml:space="preserve">ou are interested in sponsoring one of our monthly events, please e-mail </w:t>
      </w:r>
      <w:hyperlink r:id="rId10" w:history="1">
        <w:r w:rsidR="002A0E0D" w:rsidRPr="00E56F63">
          <w:rPr>
            <w:rStyle w:val="Hyperlink"/>
            <w:rFonts w:ascii="Arial" w:hAnsi="Arial" w:cs="Arial"/>
          </w:rPr>
          <w:t>president.ptcmw@gmail.com</w:t>
        </w:r>
      </w:hyperlink>
      <w:r w:rsidR="002A0E0D" w:rsidRPr="00E56F63">
        <w:rPr>
          <w:rFonts w:ascii="Arial" w:hAnsi="Arial" w:cs="Arial"/>
        </w:rPr>
        <w:t>.</w:t>
      </w:r>
      <w:r w:rsidRPr="00E56F63">
        <w:rPr>
          <w:rFonts w:ascii="Arial" w:hAnsi="Arial" w:cs="Arial"/>
        </w:rPr>
        <w:t xml:space="preserve"> Thank you!</w:t>
      </w:r>
      <w:bookmarkEnd w:id="0"/>
    </w:p>
    <w:sectPr w:rsidR="002A0E0D" w:rsidRPr="00E56F6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75356" w14:textId="77777777" w:rsidR="007B7FD1" w:rsidRDefault="007B7FD1" w:rsidP="00AE5F5E">
      <w:r>
        <w:separator/>
      </w:r>
    </w:p>
  </w:endnote>
  <w:endnote w:type="continuationSeparator" w:id="0">
    <w:p w14:paraId="4D3065CC" w14:textId="77777777" w:rsidR="007B7FD1" w:rsidRDefault="007B7FD1" w:rsidP="00AE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B4F9" w14:textId="77777777" w:rsidR="00AE5F5E" w:rsidRDefault="00AE5F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2783F4" wp14:editId="78FDEB26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63164af59aea15fddde461ec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7C3090" w14:textId="77777777" w:rsidR="00AE5F5E" w:rsidRPr="00AE5F5E" w:rsidRDefault="00AE5F5E" w:rsidP="00AE5F5E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E5F5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2783F4" id="_x0000_t202" coordsize="21600,21600" o:spt="202" path="m,l,21600r21600,l21600,xe">
              <v:stroke joinstyle="miter"/>
              <v:path gradientshapeok="t" o:connecttype="rect"/>
            </v:shapetype>
            <v:shape id="MSIPCM63164af59aea15fddde461ec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BpUV7xgDAAA4BgAADgAAAAAAAAAAAAAAAAAu&#10;AgAAZHJzL2Uyb0RvYy54bWxQSwECLQAUAAYACAAAACEAu0DtMdwAAAALAQAADwAAAAAAAAAAAAAA&#10;AAByBQAAZHJzL2Rvd25yZXYueG1sUEsFBgAAAAAEAAQA8wAAAHsGAAAAAA==&#10;" o:allowincell="f" filled="f" stroked="f" strokeweight=".5pt">
              <v:textbox inset="20pt,0,,0">
                <w:txbxContent>
                  <w:p w14:paraId="057C3090" w14:textId="77777777" w:rsidR="00AE5F5E" w:rsidRPr="00AE5F5E" w:rsidRDefault="00AE5F5E" w:rsidP="00AE5F5E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E5F5E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50A05" w14:textId="77777777" w:rsidR="007B7FD1" w:rsidRDefault="007B7FD1" w:rsidP="00AE5F5E">
      <w:r>
        <w:separator/>
      </w:r>
    </w:p>
  </w:footnote>
  <w:footnote w:type="continuationSeparator" w:id="0">
    <w:p w14:paraId="666D7C4C" w14:textId="77777777" w:rsidR="007B7FD1" w:rsidRDefault="007B7FD1" w:rsidP="00AE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F3AB9"/>
    <w:multiLevelType w:val="hybridMultilevel"/>
    <w:tmpl w:val="AA6C6366"/>
    <w:lvl w:ilvl="0" w:tplc="A3B86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27B1A"/>
    <w:multiLevelType w:val="hybridMultilevel"/>
    <w:tmpl w:val="CD28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A8F"/>
    <w:multiLevelType w:val="hybridMultilevel"/>
    <w:tmpl w:val="2E0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3D"/>
    <w:rsid w:val="00036A3D"/>
    <w:rsid w:val="00161EB2"/>
    <w:rsid w:val="001657DD"/>
    <w:rsid w:val="00174B2E"/>
    <w:rsid w:val="001B0690"/>
    <w:rsid w:val="001B7B12"/>
    <w:rsid w:val="001C005F"/>
    <w:rsid w:val="002645E3"/>
    <w:rsid w:val="00280366"/>
    <w:rsid w:val="002A0E0D"/>
    <w:rsid w:val="002C0005"/>
    <w:rsid w:val="00306EB0"/>
    <w:rsid w:val="00425CA2"/>
    <w:rsid w:val="00451738"/>
    <w:rsid w:val="004750A2"/>
    <w:rsid w:val="00485997"/>
    <w:rsid w:val="00497B3F"/>
    <w:rsid w:val="004B770C"/>
    <w:rsid w:val="004C20BB"/>
    <w:rsid w:val="004C7FA0"/>
    <w:rsid w:val="00564DAE"/>
    <w:rsid w:val="00593DB4"/>
    <w:rsid w:val="00626763"/>
    <w:rsid w:val="00626990"/>
    <w:rsid w:val="00627936"/>
    <w:rsid w:val="006456BD"/>
    <w:rsid w:val="00732D26"/>
    <w:rsid w:val="007340CB"/>
    <w:rsid w:val="00780369"/>
    <w:rsid w:val="0079049D"/>
    <w:rsid w:val="007B7FD1"/>
    <w:rsid w:val="007C2B7D"/>
    <w:rsid w:val="008623C8"/>
    <w:rsid w:val="00864800"/>
    <w:rsid w:val="00885F24"/>
    <w:rsid w:val="008E1ECC"/>
    <w:rsid w:val="0095677B"/>
    <w:rsid w:val="009676FA"/>
    <w:rsid w:val="009C185B"/>
    <w:rsid w:val="00AD673A"/>
    <w:rsid w:val="00AE4E85"/>
    <w:rsid w:val="00AE5F5E"/>
    <w:rsid w:val="00B1316D"/>
    <w:rsid w:val="00B33708"/>
    <w:rsid w:val="00B70F42"/>
    <w:rsid w:val="00B97871"/>
    <w:rsid w:val="00BA7B95"/>
    <w:rsid w:val="00BB4D9E"/>
    <w:rsid w:val="00BF0FC7"/>
    <w:rsid w:val="00C24346"/>
    <w:rsid w:val="00C27C57"/>
    <w:rsid w:val="00CA33D0"/>
    <w:rsid w:val="00CD1AE5"/>
    <w:rsid w:val="00D0339E"/>
    <w:rsid w:val="00D03736"/>
    <w:rsid w:val="00D54029"/>
    <w:rsid w:val="00DA7F69"/>
    <w:rsid w:val="00E56F63"/>
    <w:rsid w:val="00EE297F"/>
    <w:rsid w:val="00EF6F4F"/>
    <w:rsid w:val="00F61749"/>
    <w:rsid w:val="00F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14D28"/>
  <w15:chartTrackingRefBased/>
  <w15:docId w15:val="{79717AF5-5EDA-47BE-B1B6-EBE07B1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5E"/>
  </w:style>
  <w:style w:type="paragraph" w:styleId="Footer">
    <w:name w:val="footer"/>
    <w:basedOn w:val="Normal"/>
    <w:link w:val="FooterChar"/>
    <w:uiPriority w:val="99"/>
    <w:unhideWhenUsed/>
    <w:rsid w:val="00AE5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5E"/>
  </w:style>
  <w:style w:type="character" w:styleId="CommentReference">
    <w:name w:val="annotation reference"/>
    <w:basedOn w:val="DefaultParagraphFont"/>
    <w:uiPriority w:val="99"/>
    <w:semiHidden/>
    <w:unhideWhenUsed/>
    <w:rsid w:val="00645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6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29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29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.ptcmw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sident.ptcmw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.ptcm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James</dc:creator>
  <cp:keywords/>
  <dc:description/>
  <cp:lastModifiedBy>Cliff Haimann</cp:lastModifiedBy>
  <cp:revision>2</cp:revision>
  <dcterms:created xsi:type="dcterms:W3CDTF">2019-04-14T23:43:00Z</dcterms:created>
  <dcterms:modified xsi:type="dcterms:W3CDTF">2019-04-14T23:43:00Z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ea724-7527-45fe-91d9-b7249d0d8567_Enabled">
    <vt:lpwstr>True</vt:lpwstr>
  </property>
  <property fmtid="{D5CDD505-2E9C-101B-9397-08002B2CF9AE}" pid="3" name="MSIP_Label_4abea724-7527-45fe-91d9-b7249d0d8567_SiteId">
    <vt:lpwstr>7389d8c0-3607-465c-a69f-7d4426502912</vt:lpwstr>
  </property>
  <property fmtid="{D5CDD505-2E9C-101B-9397-08002B2CF9AE}" pid="4" name="MSIP_Label_4abea724-7527-45fe-91d9-b7249d0d8567_Owner">
    <vt:lpwstr>JWilcox@geico.com</vt:lpwstr>
  </property>
  <property fmtid="{D5CDD505-2E9C-101B-9397-08002B2CF9AE}" pid="5" name="MSIP_Label_4abea724-7527-45fe-91d9-b7249d0d8567_SetDate">
    <vt:lpwstr>2019-04-02T21:11:29.8957772Z</vt:lpwstr>
  </property>
  <property fmtid="{D5CDD505-2E9C-101B-9397-08002B2CF9AE}" pid="6" name="MSIP_Label_4abea724-7527-45fe-91d9-b7249d0d8567_Name">
    <vt:lpwstr>Confidential</vt:lpwstr>
  </property>
  <property fmtid="{D5CDD505-2E9C-101B-9397-08002B2CF9AE}" pid="7" name="MSIP_Label_4abea724-7527-45fe-91d9-b7249d0d8567_Application">
    <vt:lpwstr>Microsoft Azure Information Protection</vt:lpwstr>
  </property>
  <property fmtid="{D5CDD505-2E9C-101B-9397-08002B2CF9AE}" pid="8" name="MSIP_Label_4abea724-7527-45fe-91d9-b7249d0d8567_Extended_MSFT_Method">
    <vt:lpwstr>Automatic</vt:lpwstr>
  </property>
  <property fmtid="{D5CDD505-2E9C-101B-9397-08002B2CF9AE}" pid="9" name="Sensitivity">
    <vt:lpwstr>Confidential</vt:lpwstr>
  </property>
</Properties>
</file>